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10" w:rsidRPr="00556514" w:rsidRDefault="00D11210" w:rsidP="00556514">
      <w:pPr>
        <w:ind w:left="0" w:firstLine="0"/>
        <w:rPr>
          <w:b/>
        </w:rPr>
      </w:pPr>
    </w:p>
    <w:p w:rsidR="00BB6E31" w:rsidRPr="00E01D0E" w:rsidRDefault="0005341B" w:rsidP="00F944A7">
      <w:pPr>
        <w:spacing w:after="200" w:line="276" w:lineRule="auto"/>
        <w:ind w:left="0" w:firstLine="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</w:t>
      </w:r>
      <w:r w:rsidR="00157C07" w:rsidRPr="00157C07">
        <w:rPr>
          <w:b/>
          <w:sz w:val="32"/>
          <w:szCs w:val="32"/>
          <w:lang w:val="en-US"/>
        </w:rPr>
        <w:t>Programme</w:t>
      </w:r>
      <w:bookmarkStart w:id="0" w:name="_GoBack"/>
      <w:bookmarkEnd w:id="0"/>
      <w:r w:rsidR="00157C07" w:rsidRPr="00157C07">
        <w:rPr>
          <w:b/>
          <w:sz w:val="32"/>
          <w:szCs w:val="32"/>
          <w:lang w:val="en-US"/>
        </w:rPr>
        <w:t xml:space="preserve"> </w:t>
      </w:r>
      <w:r w:rsidR="00157C07" w:rsidRPr="00CF7B58">
        <w:rPr>
          <w:b/>
          <w:sz w:val="32"/>
          <w:szCs w:val="32"/>
          <w:lang w:val="en-US"/>
        </w:rPr>
        <w:t>«</w:t>
      </w:r>
      <w:r w:rsidR="00157C07" w:rsidRPr="00157C07">
        <w:rPr>
          <w:b/>
          <w:sz w:val="32"/>
          <w:szCs w:val="32"/>
          <w:lang w:val="en-US"/>
        </w:rPr>
        <w:t>English Medium Instruction</w:t>
      </w:r>
      <w:r w:rsidR="00157C07" w:rsidRPr="00CF7B58">
        <w:rPr>
          <w:b/>
          <w:sz w:val="32"/>
          <w:szCs w:val="32"/>
          <w:lang w:val="en-US"/>
        </w:rPr>
        <w:t>»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0"/>
      </w:tblGrid>
      <w:tr w:rsidR="00556514" w:rsidRPr="00CF7B58" w:rsidTr="00F944A7">
        <w:trPr>
          <w:trHeight w:val="290"/>
        </w:trPr>
        <w:tc>
          <w:tcPr>
            <w:tcW w:w="1809" w:type="dxa"/>
          </w:tcPr>
          <w:p w:rsidR="00556514" w:rsidRPr="000E231B" w:rsidRDefault="00556514" w:rsidP="00157C07">
            <w:pPr>
              <w:rPr>
                <w:b/>
                <w:szCs w:val="24"/>
                <w:lang w:val="en-US"/>
              </w:rPr>
            </w:pPr>
            <w:r w:rsidRPr="000E231B">
              <w:rPr>
                <w:b/>
                <w:szCs w:val="24"/>
                <w:lang w:val="en-US"/>
              </w:rPr>
              <w:t>Units</w:t>
            </w:r>
          </w:p>
        </w:tc>
        <w:tc>
          <w:tcPr>
            <w:tcW w:w="7400" w:type="dxa"/>
          </w:tcPr>
          <w:p w:rsidR="00556514" w:rsidRPr="000E231B" w:rsidRDefault="00556514" w:rsidP="00505134">
            <w:pPr>
              <w:rPr>
                <w:b/>
                <w:szCs w:val="24"/>
                <w:lang w:val="en-US"/>
              </w:rPr>
            </w:pPr>
            <w:r w:rsidRPr="000E231B">
              <w:rPr>
                <w:b/>
                <w:szCs w:val="24"/>
                <w:lang w:val="en-US"/>
              </w:rPr>
              <w:t>Content</w:t>
            </w:r>
          </w:p>
        </w:tc>
      </w:tr>
      <w:tr w:rsidR="00556514" w:rsidRPr="00E01D0E" w:rsidTr="00F944A7">
        <w:tc>
          <w:tcPr>
            <w:tcW w:w="1809" w:type="dxa"/>
          </w:tcPr>
          <w:p w:rsidR="00556514" w:rsidRPr="00B168A3" w:rsidRDefault="00556514" w:rsidP="00505134">
            <w:pPr>
              <w:pStyle w:val="a3"/>
              <w:rPr>
                <w:rFonts w:eastAsia="Arial"/>
                <w:b/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b/>
                <w:color w:val="auto"/>
                <w:szCs w:val="24"/>
                <w:lang w:val="en-US"/>
              </w:rPr>
              <w:t>Unit 1</w:t>
            </w:r>
          </w:p>
          <w:p w:rsidR="00556514" w:rsidRPr="00B168A3" w:rsidRDefault="00556514" w:rsidP="00505134">
            <w:pPr>
              <w:pStyle w:val="a3"/>
              <w:rPr>
                <w:rFonts w:eastAsia="Arial"/>
                <w:b/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b/>
                <w:color w:val="auto"/>
                <w:szCs w:val="24"/>
                <w:lang w:val="en-US"/>
              </w:rPr>
              <w:t>What EMI is</w:t>
            </w:r>
          </w:p>
          <w:p w:rsidR="00556514" w:rsidRPr="00B168A3" w:rsidRDefault="00556514" w:rsidP="00505134">
            <w:pPr>
              <w:pStyle w:val="a3"/>
              <w:rPr>
                <w:rFonts w:eastAsia="Arial"/>
                <w:color w:val="auto"/>
                <w:szCs w:val="24"/>
                <w:lang w:val="en-US"/>
              </w:rPr>
            </w:pPr>
          </w:p>
          <w:p w:rsidR="00556514" w:rsidRPr="00CF7B58" w:rsidRDefault="00556514" w:rsidP="00505134">
            <w:pPr>
              <w:ind w:left="0" w:firstLine="360"/>
              <w:jc w:val="left"/>
              <w:rPr>
                <w:color w:val="auto"/>
                <w:szCs w:val="24"/>
                <w:lang w:val="en-US"/>
              </w:rPr>
            </w:pPr>
          </w:p>
        </w:tc>
        <w:tc>
          <w:tcPr>
            <w:tcW w:w="7400" w:type="dxa"/>
          </w:tcPr>
          <w:p w:rsidR="00556514" w:rsidRPr="00B168A3" w:rsidRDefault="00556514" w:rsidP="00556514">
            <w:pPr>
              <w:pStyle w:val="a3"/>
              <w:numPr>
                <w:ilvl w:val="0"/>
                <w:numId w:val="2"/>
              </w:numPr>
              <w:rPr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color w:val="auto"/>
                <w:szCs w:val="24"/>
                <w:lang w:val="en-US"/>
              </w:rPr>
              <w:t>What EMI means;</w:t>
            </w:r>
          </w:p>
          <w:p w:rsidR="00556514" w:rsidRPr="00B168A3" w:rsidRDefault="00556514" w:rsidP="00556514">
            <w:pPr>
              <w:pStyle w:val="a3"/>
              <w:numPr>
                <w:ilvl w:val="0"/>
                <w:numId w:val="2"/>
              </w:numPr>
              <w:rPr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color w:val="auto"/>
                <w:szCs w:val="24"/>
                <w:lang w:val="en-US"/>
              </w:rPr>
              <w:t xml:space="preserve">Different models of EMI all over the world; </w:t>
            </w:r>
          </w:p>
          <w:p w:rsidR="00556514" w:rsidRPr="00B168A3" w:rsidRDefault="00556514" w:rsidP="00556514">
            <w:pPr>
              <w:pStyle w:val="a3"/>
              <w:numPr>
                <w:ilvl w:val="0"/>
                <w:numId w:val="2"/>
              </w:numPr>
              <w:rPr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color w:val="auto"/>
                <w:szCs w:val="24"/>
                <w:lang w:val="en-US"/>
              </w:rPr>
              <w:t xml:space="preserve">The key reasons why universities offer EMI; </w:t>
            </w:r>
          </w:p>
          <w:p w:rsidR="00556514" w:rsidRPr="00B168A3" w:rsidRDefault="00556514" w:rsidP="00556514">
            <w:pPr>
              <w:pStyle w:val="a3"/>
              <w:numPr>
                <w:ilvl w:val="0"/>
                <w:numId w:val="2"/>
              </w:numPr>
              <w:rPr>
                <w:color w:val="auto"/>
                <w:szCs w:val="24"/>
                <w:lang w:val="en-US"/>
              </w:rPr>
            </w:pPr>
            <w:r w:rsidRPr="00B168A3">
              <w:rPr>
                <w:rFonts w:eastAsia="Arial"/>
                <w:color w:val="auto"/>
                <w:szCs w:val="24"/>
                <w:lang w:val="en-US"/>
              </w:rPr>
              <w:t xml:space="preserve">The key criticisms of EMI.  </w:t>
            </w:r>
          </w:p>
        </w:tc>
      </w:tr>
      <w:tr w:rsidR="00556514" w:rsidRPr="00E01D0E" w:rsidTr="00F944A7">
        <w:tc>
          <w:tcPr>
            <w:tcW w:w="1809" w:type="dxa"/>
          </w:tcPr>
          <w:p w:rsidR="00556514" w:rsidRPr="00157C07" w:rsidRDefault="00157C07" w:rsidP="00505134">
            <w:pPr>
              <w:jc w:val="left"/>
              <w:rPr>
                <w:b/>
                <w:color w:val="auto"/>
                <w:szCs w:val="24"/>
                <w:lang w:val="en-US"/>
              </w:rPr>
            </w:pPr>
            <w:proofErr w:type="spellStart"/>
            <w:r>
              <w:rPr>
                <w:b/>
                <w:color w:val="auto"/>
                <w:szCs w:val="24"/>
              </w:rPr>
              <w:t>Unit</w:t>
            </w:r>
            <w:proofErr w:type="spellEnd"/>
            <w:r>
              <w:rPr>
                <w:b/>
                <w:color w:val="auto"/>
                <w:szCs w:val="24"/>
              </w:rPr>
              <w:t xml:space="preserve"> </w:t>
            </w:r>
            <w:r>
              <w:rPr>
                <w:b/>
                <w:color w:val="auto"/>
                <w:szCs w:val="24"/>
                <w:lang w:val="en-US"/>
              </w:rPr>
              <w:t>2</w:t>
            </w:r>
          </w:p>
          <w:p w:rsidR="00556514" w:rsidRPr="00617FB5" w:rsidRDefault="00556514" w:rsidP="00505134">
            <w:pPr>
              <w:jc w:val="left"/>
              <w:rPr>
                <w:b/>
                <w:color w:val="auto"/>
                <w:szCs w:val="24"/>
                <w:lang w:val="en-GB"/>
              </w:rPr>
            </w:pPr>
            <w:proofErr w:type="spellStart"/>
            <w:r w:rsidRPr="00B168A3">
              <w:rPr>
                <w:b/>
                <w:color w:val="auto"/>
                <w:szCs w:val="24"/>
              </w:rPr>
              <w:t>Pedagogy</w:t>
            </w:r>
            <w:proofErr w:type="spellEnd"/>
            <w:r>
              <w:rPr>
                <w:b/>
                <w:color w:val="auto"/>
                <w:szCs w:val="24"/>
                <w:lang w:val="en-GB"/>
              </w:rPr>
              <w:t xml:space="preserve"> of EMI</w:t>
            </w:r>
          </w:p>
          <w:p w:rsidR="00556514" w:rsidRPr="00B168A3" w:rsidRDefault="00556514" w:rsidP="00505134">
            <w:pPr>
              <w:jc w:val="left"/>
              <w:rPr>
                <w:b/>
                <w:color w:val="auto"/>
                <w:szCs w:val="24"/>
              </w:rPr>
            </w:pPr>
          </w:p>
          <w:p w:rsidR="00556514" w:rsidRPr="00B168A3" w:rsidRDefault="00556514" w:rsidP="00505134">
            <w:pPr>
              <w:jc w:val="left"/>
              <w:rPr>
                <w:color w:val="auto"/>
                <w:szCs w:val="24"/>
              </w:rPr>
            </w:pPr>
          </w:p>
        </w:tc>
        <w:tc>
          <w:tcPr>
            <w:tcW w:w="7400" w:type="dxa"/>
          </w:tcPr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 w:rsidRPr="000062B8">
              <w:rPr>
                <w:rFonts w:eastAsia="Arial"/>
                <w:color w:val="auto"/>
                <w:szCs w:val="24"/>
                <w:lang w:val="en-US"/>
              </w:rPr>
              <w:t>Portrait of a 21</w:t>
            </w:r>
            <w:r w:rsidRPr="000062B8">
              <w:rPr>
                <w:rFonts w:eastAsia="Arial"/>
                <w:color w:val="auto"/>
                <w:szCs w:val="24"/>
                <w:vertAlign w:val="superscript"/>
                <w:lang w:val="en-US"/>
              </w:rPr>
              <w:t>st</w:t>
            </w:r>
            <w:r w:rsidRPr="000062B8">
              <w:rPr>
                <w:rFonts w:eastAsia="Arial"/>
                <w:color w:val="auto"/>
                <w:szCs w:val="24"/>
                <w:lang w:val="en-US"/>
              </w:rPr>
              <w:t xml:space="preserve"> century teacher</w:t>
            </w:r>
          </w:p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 w:rsidRPr="000062B8">
              <w:rPr>
                <w:rFonts w:eastAsia="Arial"/>
                <w:color w:val="auto"/>
                <w:szCs w:val="24"/>
                <w:lang w:val="en-US"/>
              </w:rPr>
              <w:t xml:space="preserve">Education process structure </w:t>
            </w:r>
          </w:p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 w:rsidRPr="000062B8">
              <w:rPr>
                <w:rFonts w:eastAsia="Arial"/>
                <w:color w:val="auto"/>
                <w:szCs w:val="24"/>
                <w:lang w:val="en-US"/>
              </w:rPr>
              <w:t>Bloom’s taxonomy</w:t>
            </w:r>
          </w:p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>
              <w:rPr>
                <w:rFonts w:eastAsia="Arial"/>
                <w:color w:val="auto"/>
                <w:szCs w:val="24"/>
                <w:lang w:val="en-US"/>
              </w:rPr>
              <w:t>Guiding principles of EMI</w:t>
            </w:r>
            <w:r w:rsidRPr="000062B8">
              <w:rPr>
                <w:rFonts w:eastAsia="Arial"/>
                <w:color w:val="auto"/>
                <w:szCs w:val="24"/>
                <w:lang w:val="en-US"/>
              </w:rPr>
              <w:t xml:space="preserve"> teaching</w:t>
            </w:r>
          </w:p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 w:rsidRPr="000062B8">
              <w:rPr>
                <w:rFonts w:eastAsia="Arial"/>
                <w:color w:val="auto"/>
                <w:szCs w:val="24"/>
                <w:lang w:val="en-US"/>
              </w:rPr>
              <w:t xml:space="preserve">Leading EMI models and methods </w:t>
            </w:r>
          </w:p>
          <w:p w:rsidR="00556514" w:rsidRPr="000062B8" w:rsidRDefault="00556514" w:rsidP="00556514">
            <w:pPr>
              <w:pStyle w:val="a4"/>
              <w:numPr>
                <w:ilvl w:val="0"/>
                <w:numId w:val="2"/>
              </w:numPr>
              <w:spacing w:after="11" w:line="250" w:lineRule="auto"/>
              <w:rPr>
                <w:color w:val="auto"/>
                <w:szCs w:val="24"/>
                <w:lang w:val="en-US"/>
              </w:rPr>
            </w:pPr>
            <w:r w:rsidRPr="000062B8">
              <w:rPr>
                <w:rFonts w:eastAsia="Arial"/>
                <w:color w:val="auto"/>
                <w:szCs w:val="24"/>
                <w:lang w:val="en-US"/>
              </w:rPr>
              <w:t>Pedagogical strategies for teaching effectively</w:t>
            </w:r>
          </w:p>
        </w:tc>
      </w:tr>
      <w:tr w:rsidR="00556514" w:rsidRPr="00C530C0" w:rsidTr="00F944A7">
        <w:tc>
          <w:tcPr>
            <w:tcW w:w="1809" w:type="dxa"/>
          </w:tcPr>
          <w:p w:rsidR="00556514" w:rsidRPr="00FA74C6" w:rsidRDefault="00556514" w:rsidP="00505134">
            <w:pPr>
              <w:jc w:val="left"/>
              <w:rPr>
                <w:b/>
                <w:lang w:val="en-US"/>
              </w:rPr>
            </w:pPr>
            <w:r w:rsidRPr="00FA74C6">
              <w:rPr>
                <w:b/>
                <w:sz w:val="22"/>
                <w:lang w:val="en-US"/>
              </w:rPr>
              <w:t xml:space="preserve">Unit </w:t>
            </w:r>
            <w:r w:rsidR="00157C07">
              <w:rPr>
                <w:b/>
                <w:sz w:val="22"/>
                <w:lang w:val="en-US"/>
              </w:rPr>
              <w:t>3</w:t>
            </w:r>
          </w:p>
          <w:p w:rsidR="00556514" w:rsidRPr="00617FB5" w:rsidRDefault="00556514" w:rsidP="00505134">
            <w:pPr>
              <w:jc w:val="left"/>
              <w:rPr>
                <w:b/>
                <w:lang w:val="en-GB"/>
              </w:rPr>
            </w:pPr>
            <w:r>
              <w:rPr>
                <w:b/>
                <w:sz w:val="22"/>
                <w:lang w:val="en-GB"/>
              </w:rPr>
              <w:t>Alternative ways of teaching EMI</w:t>
            </w:r>
          </w:p>
          <w:p w:rsidR="00556514" w:rsidRPr="00FA74C6" w:rsidRDefault="00556514" w:rsidP="00505134">
            <w:pPr>
              <w:jc w:val="left"/>
              <w:rPr>
                <w:b/>
                <w:lang w:val="en-US"/>
              </w:rPr>
            </w:pPr>
          </w:p>
        </w:tc>
        <w:tc>
          <w:tcPr>
            <w:tcW w:w="7400" w:type="dxa"/>
          </w:tcPr>
          <w:p w:rsidR="00556514" w:rsidRPr="005D668A" w:rsidRDefault="00556514" w:rsidP="00556514">
            <w:pPr>
              <w:pStyle w:val="a3"/>
              <w:numPr>
                <w:ilvl w:val="0"/>
                <w:numId w:val="2"/>
              </w:numPr>
              <w:rPr>
                <w:szCs w:val="24"/>
                <w:lang w:val="en-US"/>
              </w:rPr>
            </w:pPr>
            <w:r w:rsidRPr="005D668A">
              <w:rPr>
                <w:rFonts w:eastAsia="Arial"/>
                <w:szCs w:val="24"/>
                <w:lang w:val="en-US"/>
              </w:rPr>
              <w:t xml:space="preserve">The relevance of blended learning to EMI; </w:t>
            </w:r>
          </w:p>
          <w:p w:rsidR="00556514" w:rsidRPr="005D668A" w:rsidRDefault="00556514" w:rsidP="00556514">
            <w:pPr>
              <w:pStyle w:val="a3"/>
              <w:numPr>
                <w:ilvl w:val="0"/>
                <w:numId w:val="2"/>
              </w:numPr>
              <w:rPr>
                <w:szCs w:val="24"/>
                <w:lang w:val="en-US"/>
              </w:rPr>
            </w:pPr>
            <w:r w:rsidRPr="005D668A">
              <w:rPr>
                <w:rFonts w:eastAsia="Arial"/>
                <w:szCs w:val="24"/>
                <w:lang w:val="en-US"/>
              </w:rPr>
              <w:t xml:space="preserve">The flipped classroom and EMI; </w:t>
            </w:r>
          </w:p>
          <w:p w:rsidR="00556514" w:rsidRPr="005D668A" w:rsidRDefault="00556514" w:rsidP="00556514">
            <w:pPr>
              <w:pStyle w:val="a3"/>
              <w:numPr>
                <w:ilvl w:val="0"/>
                <w:numId w:val="2"/>
              </w:numPr>
              <w:rPr>
                <w:szCs w:val="24"/>
                <w:lang w:val="en-US"/>
              </w:rPr>
            </w:pPr>
            <w:r w:rsidRPr="005D668A">
              <w:rPr>
                <w:rFonts w:eastAsia="Arial"/>
                <w:szCs w:val="24"/>
                <w:lang w:val="en-US"/>
              </w:rPr>
              <w:t>Team teaching and co-teaching</w:t>
            </w:r>
          </w:p>
          <w:p w:rsidR="00556514" w:rsidRPr="00157C07" w:rsidRDefault="00556514" w:rsidP="00157C07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5D668A">
              <w:rPr>
                <w:rFonts w:eastAsia="Arial"/>
                <w:szCs w:val="24"/>
                <w:lang w:val="en-US"/>
              </w:rPr>
              <w:t>Peer observation</w:t>
            </w:r>
          </w:p>
        </w:tc>
      </w:tr>
      <w:tr w:rsidR="00556514" w:rsidRPr="0084333D" w:rsidTr="00F944A7">
        <w:tc>
          <w:tcPr>
            <w:tcW w:w="1809" w:type="dxa"/>
          </w:tcPr>
          <w:p w:rsidR="00556514" w:rsidRPr="00157C07" w:rsidRDefault="00157C07" w:rsidP="00505134">
            <w:pPr>
              <w:jc w:val="left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</w:rPr>
              <w:t>Unit</w:t>
            </w:r>
            <w:proofErr w:type="spellEnd"/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4</w:t>
            </w:r>
          </w:p>
          <w:p w:rsidR="00556514" w:rsidRPr="00FA74C6" w:rsidRDefault="00556514" w:rsidP="00505134">
            <w:pPr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GB"/>
              </w:rPr>
              <w:t>Lecturing in EMI part one</w:t>
            </w:r>
          </w:p>
        </w:tc>
        <w:tc>
          <w:tcPr>
            <w:tcW w:w="7400" w:type="dxa"/>
          </w:tcPr>
          <w:p w:rsidR="00556514" w:rsidRPr="00617FB5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617FB5">
              <w:rPr>
                <w:lang w:val="en-US"/>
              </w:rPr>
              <w:t>Lecture structure</w:t>
            </w:r>
          </w:p>
          <w:p w:rsidR="00556514" w:rsidRPr="00617FB5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617FB5">
              <w:rPr>
                <w:lang w:val="en-US"/>
              </w:rPr>
              <w:t>Signposting your argument</w:t>
            </w:r>
          </w:p>
          <w:p w:rsidR="00556514" w:rsidRPr="00617FB5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617FB5">
              <w:rPr>
                <w:lang w:val="en-US"/>
              </w:rPr>
              <w:t>Opening, closing and concluding</w:t>
            </w:r>
          </w:p>
          <w:p w:rsidR="00556514" w:rsidRPr="00617FB5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617FB5">
              <w:rPr>
                <w:lang w:val="en-US"/>
              </w:rPr>
              <w:t>Explaining definitions, examples, classifications and concepts</w:t>
            </w:r>
          </w:p>
          <w:p w:rsidR="00556514" w:rsidRPr="00157C07" w:rsidRDefault="00556514" w:rsidP="00157C07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 w:rsidRPr="00617FB5">
              <w:rPr>
                <w:lang w:val="en-US"/>
              </w:rPr>
              <w:t>Checking student comprehension</w:t>
            </w:r>
          </w:p>
        </w:tc>
      </w:tr>
      <w:tr w:rsidR="00556514" w:rsidRPr="00E01D0E" w:rsidTr="00F944A7">
        <w:trPr>
          <w:cantSplit/>
        </w:trPr>
        <w:tc>
          <w:tcPr>
            <w:tcW w:w="1809" w:type="dxa"/>
          </w:tcPr>
          <w:p w:rsidR="00556514" w:rsidRPr="00157C07" w:rsidRDefault="00157C07" w:rsidP="00505134">
            <w:pPr>
              <w:jc w:val="left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</w:rPr>
              <w:t>Unit</w:t>
            </w:r>
            <w:proofErr w:type="spellEnd"/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5</w:t>
            </w:r>
          </w:p>
          <w:p w:rsidR="00556514" w:rsidRPr="00FA74C6" w:rsidRDefault="00556514" w:rsidP="00505134">
            <w:pPr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GB"/>
              </w:rPr>
              <w:t>Lecturing in EMI part two</w:t>
            </w:r>
          </w:p>
        </w:tc>
        <w:tc>
          <w:tcPr>
            <w:tcW w:w="7400" w:type="dxa"/>
          </w:tcPr>
          <w:p w:rsidR="00556514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Describing graphs, charts and tables</w:t>
            </w:r>
          </w:p>
          <w:p w:rsidR="00556514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Describing processes and causality</w:t>
            </w:r>
          </w:p>
          <w:p w:rsidR="00556514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Indicating your own stance in relation to an argument</w:t>
            </w:r>
          </w:p>
          <w:p w:rsidR="00556514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Indicating the strength and certainty of evidence about a subject</w:t>
            </w:r>
          </w:p>
          <w:p w:rsidR="00556514" w:rsidRPr="00157C07" w:rsidRDefault="00556514" w:rsidP="00157C07">
            <w:pPr>
              <w:pStyle w:val="a3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lang w:val="en-US"/>
              </w:rPr>
              <w:t>How to influence your audience</w:t>
            </w:r>
          </w:p>
        </w:tc>
      </w:tr>
      <w:tr w:rsidR="00556514" w:rsidRPr="0084333D" w:rsidTr="00F944A7">
        <w:trPr>
          <w:cantSplit/>
        </w:trPr>
        <w:tc>
          <w:tcPr>
            <w:tcW w:w="1809" w:type="dxa"/>
          </w:tcPr>
          <w:p w:rsidR="00556514" w:rsidRPr="00157C07" w:rsidRDefault="00157C07" w:rsidP="00505134">
            <w:pPr>
              <w:jc w:val="left"/>
              <w:rPr>
                <w:b/>
                <w:szCs w:val="24"/>
                <w:lang w:val="en-US"/>
              </w:rPr>
            </w:pPr>
            <w:r w:rsidRPr="00F944A7">
              <w:rPr>
                <w:b/>
                <w:szCs w:val="24"/>
                <w:lang w:val="en-US"/>
              </w:rPr>
              <w:t xml:space="preserve">Unit </w:t>
            </w:r>
            <w:r>
              <w:rPr>
                <w:b/>
                <w:szCs w:val="24"/>
                <w:lang w:val="en-US"/>
              </w:rPr>
              <w:t>6</w:t>
            </w:r>
          </w:p>
          <w:p w:rsidR="00556514" w:rsidRPr="006F075B" w:rsidRDefault="00556514" w:rsidP="00505134">
            <w:pPr>
              <w:jc w:val="left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Seminars in an EMI setting</w:t>
            </w:r>
          </w:p>
        </w:tc>
        <w:tc>
          <w:tcPr>
            <w:tcW w:w="7400" w:type="dxa"/>
          </w:tcPr>
          <w:p w:rsidR="00556514" w:rsidRPr="00B04A99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Language choices and code-switching</w:t>
            </w:r>
          </w:p>
          <w:p w:rsidR="00556514" w:rsidRPr="00B04A99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Managing questions</w:t>
            </w:r>
          </w:p>
          <w:p w:rsidR="00556514" w:rsidRPr="00B04A99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The language of seminars</w:t>
            </w:r>
          </w:p>
          <w:p w:rsidR="00556514" w:rsidRPr="00B04A99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Giving instructions</w:t>
            </w:r>
          </w:p>
          <w:p w:rsidR="00556514" w:rsidRPr="003A5463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Motivating students</w:t>
            </w:r>
          </w:p>
          <w:p w:rsidR="00556514" w:rsidRPr="00157C07" w:rsidRDefault="00556514" w:rsidP="00157C07">
            <w:pPr>
              <w:pStyle w:val="a4"/>
              <w:numPr>
                <w:ilvl w:val="0"/>
                <w:numId w:val="2"/>
              </w:numPr>
              <w:jc w:val="left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Cultural differences</w:t>
            </w:r>
          </w:p>
        </w:tc>
      </w:tr>
      <w:tr w:rsidR="00556514" w:rsidRPr="00E01D0E" w:rsidTr="00F944A7">
        <w:tc>
          <w:tcPr>
            <w:tcW w:w="1809" w:type="dxa"/>
          </w:tcPr>
          <w:p w:rsidR="00556514" w:rsidRPr="00157C07" w:rsidRDefault="00556514" w:rsidP="00505134">
            <w:pPr>
              <w:jc w:val="left"/>
              <w:rPr>
                <w:b/>
                <w:lang w:val="en-US"/>
              </w:rPr>
            </w:pPr>
            <w:proofErr w:type="spellStart"/>
            <w:r w:rsidRPr="00C530C0">
              <w:rPr>
                <w:b/>
                <w:sz w:val="22"/>
              </w:rPr>
              <w:t>Unit</w:t>
            </w:r>
            <w:proofErr w:type="spellEnd"/>
            <w:r w:rsidRPr="00C530C0">
              <w:rPr>
                <w:b/>
                <w:sz w:val="22"/>
              </w:rPr>
              <w:t xml:space="preserve"> </w:t>
            </w:r>
            <w:r w:rsidR="00157C07">
              <w:rPr>
                <w:b/>
                <w:sz w:val="22"/>
                <w:lang w:val="en-US"/>
              </w:rPr>
              <w:t>7</w:t>
            </w:r>
          </w:p>
          <w:p w:rsidR="00556514" w:rsidRDefault="00556514" w:rsidP="00505134">
            <w:pPr>
              <w:jc w:val="left"/>
              <w:rPr>
                <w:b/>
                <w:lang w:val="en-GB"/>
              </w:rPr>
            </w:pPr>
            <w:r>
              <w:rPr>
                <w:b/>
                <w:sz w:val="22"/>
                <w:lang w:val="en-GB"/>
              </w:rPr>
              <w:t>Feedback</w:t>
            </w:r>
          </w:p>
          <w:p w:rsidR="00556514" w:rsidRPr="00AD1B23" w:rsidRDefault="00556514" w:rsidP="00505134">
            <w:pPr>
              <w:jc w:val="left"/>
              <w:rPr>
                <w:b/>
                <w:lang w:val="en-GB"/>
              </w:rPr>
            </w:pPr>
          </w:p>
        </w:tc>
        <w:tc>
          <w:tcPr>
            <w:tcW w:w="7400" w:type="dxa"/>
          </w:tcPr>
          <w:p w:rsidR="00556514" w:rsidRPr="00D15D58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Student feedback policies</w:t>
            </w:r>
          </w:p>
          <w:p w:rsidR="00556514" w:rsidRPr="00D15D58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Misconceptions about feedback</w:t>
            </w:r>
          </w:p>
          <w:p w:rsidR="00556514" w:rsidRPr="001D7D7C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Principles of student feedback</w:t>
            </w:r>
          </w:p>
          <w:p w:rsidR="00556514" w:rsidRPr="00D15D58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The need for English feedback</w:t>
            </w:r>
          </w:p>
          <w:p w:rsidR="00556514" w:rsidRPr="00D15D58" w:rsidRDefault="00556514" w:rsidP="0055651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Useful language</w:t>
            </w:r>
          </w:p>
          <w:p w:rsidR="00556514" w:rsidRPr="00157C07" w:rsidRDefault="00556514" w:rsidP="00157C07">
            <w:pPr>
              <w:pStyle w:val="a4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szCs w:val="24"/>
                <w:lang w:val="en-US"/>
              </w:rPr>
              <w:t>Self-assessment of giving feedback</w:t>
            </w:r>
          </w:p>
        </w:tc>
      </w:tr>
      <w:tr w:rsidR="00556514" w:rsidRPr="00C530C0" w:rsidTr="00F944A7">
        <w:tc>
          <w:tcPr>
            <w:tcW w:w="1809" w:type="dxa"/>
          </w:tcPr>
          <w:p w:rsidR="00556514" w:rsidRPr="00626746" w:rsidRDefault="00556514" w:rsidP="00505134">
            <w:pPr>
              <w:jc w:val="left"/>
              <w:rPr>
                <w:b/>
                <w:lang w:val="en-US"/>
              </w:rPr>
            </w:pPr>
            <w:r w:rsidRPr="00626746">
              <w:rPr>
                <w:b/>
                <w:sz w:val="22"/>
                <w:lang w:val="en-US"/>
              </w:rPr>
              <w:t xml:space="preserve">Unit </w:t>
            </w:r>
            <w:r w:rsidR="00157C07">
              <w:rPr>
                <w:b/>
                <w:sz w:val="22"/>
                <w:lang w:val="en-US"/>
              </w:rPr>
              <w:t>8</w:t>
            </w:r>
          </w:p>
          <w:p w:rsidR="00556514" w:rsidRPr="00626746" w:rsidRDefault="00556514" w:rsidP="00505134">
            <w:pPr>
              <w:jc w:val="left"/>
              <w:rPr>
                <w:b/>
                <w:lang w:val="en-US"/>
              </w:rPr>
            </w:pPr>
            <w:r w:rsidRPr="00626746">
              <w:rPr>
                <w:b/>
                <w:sz w:val="22"/>
                <w:lang w:val="en-US"/>
              </w:rPr>
              <w:t>Pronunciation</w:t>
            </w:r>
          </w:p>
          <w:p w:rsidR="00556514" w:rsidRPr="00626746" w:rsidRDefault="00556514" w:rsidP="00505134">
            <w:pPr>
              <w:jc w:val="left"/>
              <w:rPr>
                <w:b/>
                <w:lang w:val="en-US"/>
              </w:rPr>
            </w:pPr>
            <w:r w:rsidRPr="00626746">
              <w:rPr>
                <w:b/>
                <w:sz w:val="22"/>
                <w:lang w:val="en-US"/>
              </w:rPr>
              <w:t>Voice</w:t>
            </w:r>
          </w:p>
          <w:p w:rsidR="00556514" w:rsidRPr="00626746" w:rsidRDefault="00556514" w:rsidP="00505134">
            <w:pPr>
              <w:jc w:val="left"/>
              <w:rPr>
                <w:b/>
                <w:lang w:val="en-US"/>
              </w:rPr>
            </w:pPr>
          </w:p>
          <w:p w:rsidR="00556514" w:rsidRPr="00626746" w:rsidRDefault="00556514" w:rsidP="00505134">
            <w:pPr>
              <w:jc w:val="left"/>
              <w:rPr>
                <w:b/>
                <w:lang w:val="en-US"/>
              </w:rPr>
            </w:pPr>
          </w:p>
        </w:tc>
        <w:tc>
          <w:tcPr>
            <w:tcW w:w="7400" w:type="dxa"/>
          </w:tcPr>
          <w:p w:rsidR="00556514" w:rsidRPr="00CC2D05" w:rsidRDefault="00556514" w:rsidP="00556514">
            <w:pPr>
              <w:pStyle w:val="a3"/>
              <w:numPr>
                <w:ilvl w:val="0"/>
                <w:numId w:val="1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Dealing with anxieties</w:t>
            </w:r>
          </w:p>
          <w:p w:rsidR="00556514" w:rsidRPr="00CC2D05" w:rsidRDefault="00556514" w:rsidP="00556514">
            <w:pPr>
              <w:pStyle w:val="a3"/>
              <w:numPr>
                <w:ilvl w:val="0"/>
                <w:numId w:val="1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Accents and intelligibility</w:t>
            </w:r>
          </w:p>
          <w:p w:rsidR="00556514" w:rsidRPr="00CC2D05" w:rsidRDefault="00556514" w:rsidP="00556514">
            <w:pPr>
              <w:pStyle w:val="a3"/>
              <w:numPr>
                <w:ilvl w:val="0"/>
                <w:numId w:val="1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Pronunciation practice</w:t>
            </w:r>
          </w:p>
          <w:p w:rsidR="00556514" w:rsidRPr="00157C07" w:rsidRDefault="00556514" w:rsidP="00157C07">
            <w:pPr>
              <w:pStyle w:val="a3"/>
              <w:numPr>
                <w:ilvl w:val="0"/>
                <w:numId w:val="1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 xml:space="preserve">Intonation practice </w:t>
            </w:r>
          </w:p>
        </w:tc>
      </w:tr>
      <w:tr w:rsidR="00157C07" w:rsidRPr="00E01D0E" w:rsidTr="00F944A7">
        <w:trPr>
          <w:trHeight w:val="415"/>
        </w:trPr>
        <w:tc>
          <w:tcPr>
            <w:tcW w:w="1809" w:type="dxa"/>
          </w:tcPr>
          <w:p w:rsidR="00157C07" w:rsidRDefault="00157C07" w:rsidP="00505134">
            <w:pPr>
              <w:jc w:val="left"/>
              <w:rPr>
                <w:b/>
                <w:lang w:val="en-GB"/>
              </w:rPr>
            </w:pPr>
            <w:r>
              <w:rPr>
                <w:b/>
                <w:sz w:val="22"/>
                <w:lang w:val="en-GB"/>
              </w:rPr>
              <w:t>Unit 9</w:t>
            </w:r>
          </w:p>
          <w:p w:rsidR="00157C07" w:rsidRDefault="00157C07" w:rsidP="00505134">
            <w:pPr>
              <w:jc w:val="left"/>
              <w:rPr>
                <w:b/>
                <w:lang w:val="en-GB"/>
              </w:rPr>
            </w:pPr>
            <w:r>
              <w:rPr>
                <w:b/>
                <w:sz w:val="22"/>
                <w:lang w:val="en-GB"/>
              </w:rPr>
              <w:t>Student language skills</w:t>
            </w:r>
          </w:p>
          <w:p w:rsidR="00157C07" w:rsidRPr="002624AE" w:rsidRDefault="00157C07" w:rsidP="00505134">
            <w:pPr>
              <w:jc w:val="left"/>
              <w:rPr>
                <w:b/>
                <w:lang w:val="en-GB"/>
              </w:rPr>
            </w:pPr>
          </w:p>
        </w:tc>
        <w:tc>
          <w:tcPr>
            <w:tcW w:w="7400" w:type="dxa"/>
          </w:tcPr>
          <w:p w:rsidR="00157C07" w:rsidRPr="008E3074" w:rsidRDefault="00157C07" w:rsidP="0050513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Writing skills</w:t>
            </w:r>
          </w:p>
          <w:p w:rsidR="00157C07" w:rsidRPr="008E3074" w:rsidRDefault="00157C07" w:rsidP="0050513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Writing in the disciplines</w:t>
            </w:r>
          </w:p>
          <w:p w:rsidR="00157C07" w:rsidRPr="008E3074" w:rsidRDefault="00157C07" w:rsidP="0050513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Reading as a process</w:t>
            </w:r>
          </w:p>
          <w:p w:rsidR="00157C07" w:rsidRPr="008E3074" w:rsidRDefault="00157C07" w:rsidP="0050513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Reading strategies</w:t>
            </w:r>
          </w:p>
          <w:p w:rsidR="00157C07" w:rsidRPr="008E3074" w:rsidRDefault="00157C07" w:rsidP="00505134">
            <w:pPr>
              <w:pStyle w:val="a3"/>
              <w:numPr>
                <w:ilvl w:val="0"/>
                <w:numId w:val="2"/>
              </w:num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szCs w:val="24"/>
                <w:lang w:val="en-US"/>
              </w:rPr>
              <w:t>Predatory and close reading</w:t>
            </w:r>
          </w:p>
          <w:p w:rsidR="00157C07" w:rsidRPr="00157C07" w:rsidRDefault="00157C07" w:rsidP="00505134">
            <w:pPr>
              <w:pStyle w:val="a4"/>
              <w:numPr>
                <w:ilvl w:val="0"/>
                <w:numId w:val="2"/>
              </w:numPr>
              <w:jc w:val="left"/>
              <w:rPr>
                <w:lang w:val="en-US"/>
              </w:rPr>
            </w:pPr>
            <w:r>
              <w:rPr>
                <w:szCs w:val="24"/>
                <w:lang w:val="en-US"/>
              </w:rPr>
              <w:t>Improving speaking and listening skills</w:t>
            </w:r>
          </w:p>
        </w:tc>
      </w:tr>
    </w:tbl>
    <w:p w:rsidR="00556514" w:rsidRPr="00556514" w:rsidRDefault="00556514" w:rsidP="00F944A7">
      <w:pPr>
        <w:ind w:left="0" w:firstLine="0"/>
        <w:rPr>
          <w:lang w:val="en-US"/>
        </w:rPr>
      </w:pPr>
    </w:p>
    <w:sectPr w:rsidR="00556514" w:rsidRPr="00556514" w:rsidSect="00340B1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DAF"/>
    <w:multiLevelType w:val="hybridMultilevel"/>
    <w:tmpl w:val="3670EB8A"/>
    <w:lvl w:ilvl="0" w:tplc="8DF8D4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04B0"/>
    <w:multiLevelType w:val="hybridMultilevel"/>
    <w:tmpl w:val="E8885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F40F1"/>
    <w:multiLevelType w:val="hybridMultilevel"/>
    <w:tmpl w:val="F8266EEE"/>
    <w:lvl w:ilvl="0" w:tplc="0809000D">
      <w:start w:val="1"/>
      <w:numFmt w:val="bullet"/>
      <w:lvlText w:val=""/>
      <w:lvlJc w:val="left"/>
      <w:pPr>
        <w:ind w:left="6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14"/>
    <w:rsid w:val="0005341B"/>
    <w:rsid w:val="000F77CA"/>
    <w:rsid w:val="00157C07"/>
    <w:rsid w:val="001A3C81"/>
    <w:rsid w:val="00340B18"/>
    <w:rsid w:val="0034279D"/>
    <w:rsid w:val="0037392B"/>
    <w:rsid w:val="004B24B8"/>
    <w:rsid w:val="004D3F65"/>
    <w:rsid w:val="00556514"/>
    <w:rsid w:val="006A20E7"/>
    <w:rsid w:val="009919FF"/>
    <w:rsid w:val="00A30CFC"/>
    <w:rsid w:val="00BB6E31"/>
    <w:rsid w:val="00BD1AA5"/>
    <w:rsid w:val="00C71E97"/>
    <w:rsid w:val="00CC0217"/>
    <w:rsid w:val="00CE6A6A"/>
    <w:rsid w:val="00CF7B58"/>
    <w:rsid w:val="00D11210"/>
    <w:rsid w:val="00E01D0E"/>
    <w:rsid w:val="00F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AFCC"/>
  <w15:docId w15:val="{B0099CD2-379B-4EBE-8934-E5587F4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14"/>
    <w:pPr>
      <w:spacing w:after="8" w:line="249" w:lineRule="auto"/>
      <w:ind w:left="10" w:hanging="10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514"/>
    <w:pPr>
      <w:spacing w:after="0" w:line="240" w:lineRule="auto"/>
      <w:ind w:left="10" w:hanging="10"/>
      <w:jc w:val="both"/>
    </w:pPr>
    <w:rPr>
      <w:rFonts w:eastAsia="Times New Roman"/>
      <w:color w:val="000000"/>
      <w:szCs w:val="22"/>
      <w:lang w:eastAsia="ru-RU"/>
    </w:rPr>
  </w:style>
  <w:style w:type="paragraph" w:styleId="a4">
    <w:name w:val="List Paragraph"/>
    <w:basedOn w:val="a"/>
    <w:uiPriority w:val="34"/>
    <w:qFormat/>
    <w:rsid w:val="00556514"/>
    <w:pPr>
      <w:ind w:left="720"/>
      <w:contextualSpacing/>
    </w:pPr>
  </w:style>
  <w:style w:type="character" w:styleId="a5">
    <w:name w:val="Strong"/>
    <w:basedOn w:val="a0"/>
    <w:uiPriority w:val="22"/>
    <w:qFormat/>
    <w:rsid w:val="00BB6E31"/>
    <w:rPr>
      <w:b/>
      <w:bCs/>
    </w:rPr>
  </w:style>
  <w:style w:type="character" w:styleId="a6">
    <w:name w:val="Hyperlink"/>
    <w:basedOn w:val="a0"/>
    <w:uiPriority w:val="99"/>
    <w:semiHidden/>
    <w:unhideWhenUsed/>
    <w:rsid w:val="00BB6E3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4A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D14F-D247-4C0A-B7F6-E6DEC6DF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Ярославова</dc:creator>
  <cp:lastModifiedBy>Пользователь Windows</cp:lastModifiedBy>
  <cp:revision>2</cp:revision>
  <cp:lastPrinted>2018-01-29T14:29:00Z</cp:lastPrinted>
  <dcterms:created xsi:type="dcterms:W3CDTF">2018-01-30T05:42:00Z</dcterms:created>
  <dcterms:modified xsi:type="dcterms:W3CDTF">2018-01-30T05:42:00Z</dcterms:modified>
</cp:coreProperties>
</file>