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widowControl/>
        <w:spacing w:after="150" w:before="0"/>
        <w:ind w:hanging="0" w:left="0" w:right="0"/>
        <w:contextualSpacing w:val="false"/>
        <w:jc w:val="center"/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i w:val="false"/>
          <w:caps w:val="false"/>
          <w:smallCaps w:val="false"/>
          <w:color w:val="222324"/>
          <w:spacing w:val="0"/>
          <w:sz w:val="24"/>
          <w:lang w:val="ru-RU"/>
        </w:rPr>
        <w:t>К</w:t>
      </w:r>
      <w:r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  <w:t>онкурс на замещение должностей научных работников ЮУрГУ</w:t>
      </w:r>
    </w:p>
    <w:p>
      <w:pPr>
        <w:pStyle w:val="style20"/>
        <w:widowControl/>
        <w:spacing w:after="150" w:before="0"/>
        <w:ind w:hanging="0" w:left="0" w:right="0"/>
        <w:contextualSpacing w:val="false"/>
        <w:rPr/>
      </w:pPr>
      <w:r>
        <w:rPr/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22 апреля 2020 г.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объявлен конкурс на замещение должностей научных работников ЮУрГУ. В конкурсное объявление включены должности, по которым сроки трудовых договоров истекают в период с 01.06.2020 г. по 30.09.2020 г., и вакантные. (Приказ Министерства образования и науки РФ от 2 сентября 2015 г. № 937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 (НИУ)» (приказ от 20.12.2016 г. № 674)). 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Прием заявлений для участия в конкурсе научных работников: </w:t>
      </w: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главный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и </w:t>
      </w: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сотрудник/инженер-исследователь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заканчивается за 15 календарных дней до даты проведения конкурса.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463"/>
        <w:gridCol w:w="2200"/>
        <w:gridCol w:w="1350"/>
        <w:gridCol w:w="2100"/>
      </w:tblGrid>
      <w:tr>
        <w:trPr>
          <w:tblHeader w:val="true"/>
          <w:cantSplit w:val="false"/>
        </w:trPr>
        <w:tc>
          <w:tcPr>
            <w:tcW w:type="dxa" w:w="446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220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  <w:br/>
              <w:t>конкурса – заседание</w:t>
              <w:b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Мехатроника и автоматизация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Главный научный сотрудник</w:t>
            </w:r>
          </w:p>
        </w:tc>
        <w:tc>
          <w:tcPr>
            <w:tcW w:type="dxa" w:w="135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08.06.2020 г.</w:t>
            </w:r>
          </w:p>
        </w:tc>
        <w:tc>
          <w:tcPr>
            <w:tcW w:type="dxa" w:w="210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24.06.2020 г.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в 14:00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НЛ "Кристаллохимический дизайн</w:t>
              <w:br/>
              <w:t>функциональных материалов" кафедры</w:t>
              <w:br/>
              <w:t>материаловедения и физико-химии материалов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"Многомасштабное моделирование</w:t>
              <w:br/>
              <w:t>многокомпонентных функциональных</w:t>
              <w:br/>
              <w:t>материалов" НОЦ "Нанотехнологии"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технической самодиагностики и</w:t>
              <w:br/>
              <w:t>самоконтроля приборов и систем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Колесные и гусеничные машины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Колесные и гусеничные машины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Математическое и компьютерное</w:t>
              <w:br/>
              <w:t>моделирование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Математическое и компьютерное</w:t>
              <w:br/>
              <w:t>моделирование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Мехатроника и автоматизация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"Многомасштабное моделирование</w:t>
              <w:br/>
              <w:t>многокомпонентных функциональных</w:t>
              <w:br/>
              <w:t>материалов" НОЦ "Нанотехнологии"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технической самодиагностики и</w:t>
              <w:br/>
              <w:t>самоконтроля приборов и систем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технической самодиагностики и</w:t>
              <w:br/>
              <w:t>самоконтроля приборов и систем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line="300" w:lineRule="auto"/>
              <w:jc w:val="left"/>
              <w:rPr/>
            </w:pPr>
            <w:r>
              <w:rPr/>
              <w:t>НОЦ “Аэрокосмические технологии”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line="300" w:lineRule="auto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6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Уравнения математической физики</w:t>
            </w:r>
          </w:p>
        </w:tc>
        <w:tc>
          <w:tcPr>
            <w:tcW w:type="dxa" w:w="2200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0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679"/>
        <w:gridCol w:w="2109"/>
        <w:gridCol w:w="1637"/>
        <w:gridCol w:w="1650"/>
      </w:tblGrid>
      <w:tr>
        <w:trPr>
          <w:tblHeader w:val="true"/>
          <w:cantSplit w:val="false"/>
        </w:trPr>
        <w:tc>
          <w:tcPr>
            <w:tcW w:type="dxa" w:w="467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210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165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  <w:br/>
              <w:t>конкурса – заседание</w:t>
              <w:b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Управления научной и инновационной</w:t>
              <w:br/>
              <w:t>деятельности</w:t>
            </w:r>
          </w:p>
        </w:tc>
        <w:tc>
          <w:tcPr>
            <w:tcW w:type="dxa" w:w="210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637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08.06.2020 г.</w:t>
            </w:r>
          </w:p>
        </w:tc>
        <w:tc>
          <w:tcPr>
            <w:tcW w:type="dxa" w:w="165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uppressLineNumbers/>
              <w:spacing w:after="150" w:before="0" w:line="300" w:lineRule="auto"/>
              <w:ind w:hanging="0" w:left="75" w:right="13"/>
              <w:contextualSpacing w:val="false"/>
              <w:rPr/>
            </w:pPr>
            <w:r>
              <w:rPr/>
              <w:t>24.06.2020 г.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ауд. 1001 в 15:30</w:t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Управления научной и инновационной</w:t>
              <w:br/>
              <w:t>деятельности</w:t>
            </w:r>
          </w:p>
        </w:tc>
        <w:tc>
          <w:tcPr>
            <w:tcW w:type="dxa" w:w="210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637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Лаборатория квантовой обработки</w:t>
              <w:br/>
              <w:t>информации и квантовых вычислений</w:t>
              <w:br/>
              <w:t>НОЦ «Цифровая индустрия» Управления</w:t>
              <w:br/>
              <w:t>научной и инновационной деятельности</w:t>
            </w:r>
          </w:p>
        </w:tc>
        <w:tc>
          <w:tcPr>
            <w:tcW w:type="dxa" w:w="2109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637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Место (адрес) приема заявлений для участия в конкурсе: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Управление по работе с кадрами,  г. Челябинск, пр. имени В.И. Ленина, 76,  каб.: 130, 132, 144  (главный корпус).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Телефоны для справок: 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267-92-31, 267-97-80, 267-93-99.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 заявлению на замещение должности должны быть приложены: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копии документов, подтверждающих соответствие претендента квалификационным требованиям,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>
      <w:pPr>
        <w:pStyle w:val="style20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>
      <w:pPr>
        <w:pStyle w:val="style20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справка о предварительном или периодическом медицинском осмотре.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Квалификационные требования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Главный научный сотрудник: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специалитет или магистратура.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5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пяти лет работы в соответствующей области знаний.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2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месте;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наличие ученой степени доктора наук;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крупные научные труды или дипломы на открытия;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авторские свидетельства на изобретения.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8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3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Инженер-исследователь: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1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4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1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Для участия в конкурсе научных работников:</w:t>
      </w:r>
    </w:p>
    <w:p>
      <w:pPr>
        <w:pStyle w:val="style20"/>
        <w:widowControl/>
        <w:numPr>
          <w:ilvl w:val="0"/>
          <w:numId w:val="1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</w:t>
      </w:r>
    </w:p>
    <w:p>
      <w:pPr>
        <w:pStyle w:val="style20"/>
        <w:widowControl/>
        <w:numPr>
          <w:ilvl w:val="0"/>
          <w:numId w:val="1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</w:t>
      </w:r>
    </w:p>
    <w:p>
      <w:pPr>
        <w:pStyle w:val="style20"/>
        <w:widowControl/>
        <w:numPr>
          <w:ilvl w:val="0"/>
          <w:numId w:val="1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научный сотрудник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Для участия в конкурсе претенденту необходимо разместить на портале вакансий заявку по адресу «http://ученые-исследователи.рф»: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а) фамилию, имя и отчество (при наличии) претендента;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б) дату рождения претендента;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в) сведения о высшем образовании и квалификации, ученой степени (при наличии) и ученом звании (при наличии);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г) сведения о стаже и опыте работы;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д) сведения об отрасли (области) наук, в которых намерен работать претендент;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287"/>
        <w:gridCol w:w="1303"/>
        <w:gridCol w:w="3041"/>
        <w:gridCol w:w="1460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30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304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  <w:br/>
              <w:t>http://ученые-исследователи.рф</w:t>
            </w:r>
          </w:p>
        </w:tc>
        <w:tc>
          <w:tcPr>
            <w:tcW w:type="dxa" w:w="146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  <w:br/>
              <w:t>конкурса – заседание</w:t>
              <w:b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Математическое и компьютерное моделирование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41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с18 мая 2020 г.  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по 19 июня 2020 г.</w:t>
            </w:r>
          </w:p>
        </w:tc>
        <w:tc>
          <w:tcPr>
            <w:tcW w:type="dxa" w:w="146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24.06.2020 г.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время: 14:00 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"Многомасштабное моделирование</w:t>
              <w:br/>
              <w:t>многокомпонентных функциональных</w:t>
              <w:br/>
              <w:t>материалов" 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Конструирование и производство радиоаппаратуры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Лаборатория исследований моторно-</w:t>
              <w:br/>
              <w:t>трансмиссионного блока автомобильной,</w:t>
              <w:br/>
              <w:t>дорожно-строительной и специальной техники</w:t>
              <w:br/>
              <w:t>НОЦ "Энерго- и ресурсоэффективные технологии</w:t>
              <w:br/>
              <w:t>в дизелестроении для бронетанковой техники и</w:t>
              <w:br/>
              <w:t>инженерных машин"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Теоретические основы электротехники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Физика наноразмерных систем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Лаборатория исследований моторно-</w:t>
              <w:br/>
              <w:t>трансмиссионного блока автомобильной,</w:t>
              <w:br/>
              <w:t>дорожно-строительной и специальной техники</w:t>
              <w:br/>
              <w:t>НОЦ "Энерго- и ресурсоэффективные технологии</w:t>
              <w:br/>
              <w:t>в дизелестроении для бронетанковой техники и</w:t>
              <w:br/>
              <w:t>инженерных машин"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 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 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 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"Многомасштабное моделирование</w:t>
              <w:br/>
              <w:t>многокомпонентных функциональных материалов</w:t>
              <w:br/>
              <w:t>НОЦ "Нанотехнологии"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5023"/>
        <w:gridCol w:w="1303"/>
        <w:gridCol w:w="1899"/>
        <w:gridCol w:w="1850"/>
      </w:tblGrid>
      <w:tr>
        <w:trPr>
          <w:tblHeader w:val="true"/>
          <w:cantSplit w:val="false"/>
        </w:trPr>
        <w:tc>
          <w:tcPr>
            <w:tcW w:type="dxa" w:w="502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30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899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  <w:br/>
              <w:t>http://ученые-исследователи.рф</w:t>
            </w:r>
          </w:p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  <w:br/>
              <w:t>конкурса – заседание</w:t>
              <w:b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502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Теория государства и права,</w:t>
              <w:br/>
              <w:t>конституционное и административное право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99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с   18 мая 2020 г.  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по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19 июня 2020 г.</w:t>
            </w:r>
          </w:p>
        </w:tc>
        <w:tc>
          <w:tcPr>
            <w:tcW w:type="dxa" w:w="185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24.06.2020 г.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время: 15:00 </w:t>
            </w:r>
          </w:p>
        </w:tc>
      </w:tr>
      <w:tr>
        <w:trPr>
          <w:cantSplit w:val="false"/>
        </w:trPr>
        <w:tc>
          <w:tcPr>
            <w:tcW w:type="dxa" w:w="502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Теория государства и права,</w:t>
              <w:br/>
              <w:t>конституционное и административное право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99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2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Финансовые технологии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99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5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287"/>
        <w:gridCol w:w="1303"/>
        <w:gridCol w:w="3041"/>
        <w:gridCol w:w="1460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30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304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  <w:br/>
              <w:t>http://ученые-исследователи.рф</w:t>
            </w:r>
          </w:p>
        </w:tc>
        <w:tc>
          <w:tcPr>
            <w:tcW w:type="dxa" w:w="1460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  <w:br/>
              <w:t>конкурса – заседание</w:t>
              <w:b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НИЛ компьютерного моделирования</w:t>
              <w:br/>
              <w:t>лекарственных средств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с 18 мая 2020 г.  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по 19 июня 2020 г.</w:t>
            </w:r>
          </w:p>
        </w:tc>
        <w:tc>
          <w:tcPr>
            <w:tcW w:type="dxa" w:w="1460"/>
            <w:vMerge w:val="restart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24.06.2020 г.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 w:line="300" w:lineRule="auto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время: 15:30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     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Технология  и организация общественного питания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5"/>
              <w:spacing w:after="0" w:before="0" w:line="300" w:lineRule="auto"/>
              <w:ind w:hanging="0" w:left="0" w:right="0"/>
              <w:contextualSpacing w:val="false"/>
              <w:jc w:val="left"/>
              <w:rPr/>
            </w:pPr>
            <w:r>
              <w:rPr/>
              <w:t>Физическое воспитание и здоровье</w:t>
            </w:r>
          </w:p>
        </w:tc>
        <w:tc>
          <w:tcPr>
            <w:tcW w:type="dxa" w:w="1303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24"/>
              <w:spacing w:after="0" w:before="0" w:line="300" w:lineRule="auto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3041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0"/>
            <w:vMerge w:val="continue"/>
            <w:tcBorders>
              <w:top w:color="DDDDDD" w:space="0" w:sz="2" w:val="single"/>
              <w:left w:color="DDDDDD" w:space="0" w:sz="2" w:val="single"/>
              <w:bottom w:color="DDDDDD" w:space="0" w:sz="2" w:val="single"/>
              <w:right w:color="DDDDDD" w:space="0" w:sz="2" w:val="single"/>
            </w:tcBorders>
            <w:shd w:fill="auto" w:val="clear"/>
            <w:tcMar>
              <w:top w:type="dxa" w:w="75"/>
              <w:left w:type="dxa" w:w="74"/>
              <w:bottom w:type="dxa" w:w="75"/>
              <w:right w:type="dxa" w:w="75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 заседание Конкурсной комиссии при себе иметь: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копии документов, подтверждающих соответствие претендента квалификационным требованиям,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Квалификационные требования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5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специалитет или магистратура.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5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месте;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научные труды (авторские свидетельства на изобретения).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8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специалитет или магистратура.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2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6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2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месте;</w:t>
      </w:r>
    </w:p>
    <w:p>
      <w:pPr>
        <w:pStyle w:val="style20"/>
        <w:widowControl/>
        <w:numPr>
          <w:ilvl w:val="0"/>
          <w:numId w:val="2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научные труды (авторские свидетельства на изобретения).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Научный сотрудник: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2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2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2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7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2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0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4" w:type="paragraph">
    <w:name w:val="Заголовок 4"/>
    <w:basedOn w:val="style19"/>
    <w:next w:val="style20"/>
    <w:pPr/>
    <w:rPr>
      <w:rFonts w:ascii="Times New Roman" w:cs="Mangal" w:eastAsia="SimSun" w:hAnsi="Times New Roman"/>
      <w:b/>
      <w:bCs/>
      <w:sz w:val="24"/>
      <w:szCs w:val="24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Символ нумерации"/>
    <w:next w:val="style17"/>
    <w:rPr/>
  </w:style>
  <w:style w:styleId="style18" w:type="character">
    <w:name w:val="Интернет-ссылка"/>
    <w:next w:val="style18"/>
    <w:rPr>
      <w:color w:val="00008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202.3000/" TargetMode="External"/><Relationship Id="rId3" Type="http://schemas.openxmlformats.org/officeDocument/2006/relationships/hyperlink" Target="garantf1://12091202.3000/" TargetMode="External"/><Relationship Id="rId4" Type="http://schemas.openxmlformats.org/officeDocument/2006/relationships/hyperlink" Target="garantf1://12091202.3000/" TargetMode="External"/><Relationship Id="rId5" Type="http://schemas.openxmlformats.org/officeDocument/2006/relationships/hyperlink" Target="garantf1://12091202.3000/" TargetMode="External"/><Relationship Id="rId6" Type="http://schemas.openxmlformats.org/officeDocument/2006/relationships/hyperlink" Target="garantf1://12091202.3000/" TargetMode="External"/><Relationship Id="rId7" Type="http://schemas.openxmlformats.org/officeDocument/2006/relationships/hyperlink" Target="garantf1://12091202.3000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2020-10-14T15:58:16Z</dcterms:created>
  <dcterms:modified xsi:type="dcterms:W3CDTF">2020-10-14T16:00:23Z</dcterms:modified>
  <cp:revision>1</cp:revision>
</cp:coreProperties>
</file>