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widowControl/>
        <w:spacing w:after="150" w:before="0"/>
        <w:ind w:hanging="0" w:left="0" w:right="0"/>
        <w:contextualSpacing w:val="false"/>
        <w:jc w:val="center"/>
        <w:rPr>
          <w:rStyle w:val="style15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i w:val="false"/>
          <w:caps w:val="false"/>
          <w:smallCaps w:val="false"/>
          <w:color w:val="222324"/>
          <w:spacing w:val="0"/>
          <w:sz w:val="24"/>
          <w:lang w:val="ru-RU"/>
        </w:rPr>
        <w:t>К</w:t>
      </w:r>
      <w:r>
        <w:rPr>
          <w:rStyle w:val="style15"/>
          <w:i w:val="false"/>
          <w:caps w:val="false"/>
          <w:smallCaps w:val="false"/>
          <w:color w:val="222324"/>
          <w:spacing w:val="0"/>
          <w:sz w:val="24"/>
        </w:rPr>
        <w:t>онкурс на замещение должностей научных работников ЮУрГУ</w:t>
      </w:r>
    </w:p>
    <w:p>
      <w:pPr>
        <w:pStyle w:val="style20"/>
        <w:widowControl/>
        <w:spacing w:after="150" w:before="0"/>
        <w:ind w:hanging="0" w:left="0" w:right="0"/>
        <w:contextualSpacing w:val="false"/>
        <w:rPr/>
      </w:pPr>
      <w:r>
        <w:rPr/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13 декабря 2019 г.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 объявлен конкурс на замещение должностей научных работников ЮУрГУ. В конкурсное объявление включены должности, по которым сроки трудовых договоров истекают в период с 01.02.2020 г. по 31.05.2020 г., и вакантные. (Приказ Министерства образования и науки РФ от 2 сентября 2015 г. № 937 «Об утверждении перечня должностей научных работников, подлежащих замещению по конкурсу, и порядка проведения указанного конкурса», Положение о порядке проведения конкурсов на замещение должностей научных работников в ФГАОУ ВО «ЮУрГУ (НИУ)» (приказ от 20.12.2016 г. № 674)).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Прием заявлений для участия в конкурсе научных работников: </w:t>
      </w: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младший научный сотрудник/инженер-исследователь 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заканчивается за 15 календарных дней до даты проведения конкурса.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623"/>
        <w:gridCol w:w="2127"/>
        <w:gridCol w:w="1138"/>
        <w:gridCol w:w="2050"/>
      </w:tblGrid>
      <w:tr>
        <w:trPr>
          <w:tblHeader w:val="true"/>
          <w:cantSplit w:val="false"/>
        </w:trPr>
        <w:tc>
          <w:tcPr>
            <w:tcW w:type="dxa" w:w="462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2127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1138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uppressLineNumbers/>
              <w:spacing w:after="0" w:before="0"/>
              <w:ind w:hanging="0" w:left="0" w:right="13"/>
              <w:contextualSpacing w:val="false"/>
              <w:jc w:val="left"/>
              <w:rPr/>
            </w:pPr>
            <w:r>
              <w:rPr/>
              <w:t>Окончательная дата подачи заявления</w:t>
            </w:r>
          </w:p>
        </w:tc>
        <w:tc>
          <w:tcPr>
            <w:tcW w:type="dxa" w:w="2050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конкурса – заседание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62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Техническая механика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138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04.02.2020 г.</w:t>
            </w:r>
          </w:p>
        </w:tc>
        <w:tc>
          <w:tcPr>
            <w:tcW w:type="dxa" w:w="2050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20.02.2020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пр. Ленина, 76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 14:00</w:t>
            </w:r>
          </w:p>
        </w:tc>
      </w:tr>
      <w:tr>
        <w:trPr>
          <w:cantSplit w:val="false"/>
        </w:trPr>
        <w:tc>
          <w:tcPr>
            <w:tcW w:type="dxa" w:w="462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Техническая механика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1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5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2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Техническая механика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1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5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2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Техническая механика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1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5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2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Системы автоматического управления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1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5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2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Системы автоматического управления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1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5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2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Пирометаллургические процессы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1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5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2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Учебно-научный центр "Строительство"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13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5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287"/>
        <w:gridCol w:w="1338"/>
        <w:gridCol w:w="2275"/>
        <w:gridCol w:w="1913"/>
      </w:tblGrid>
      <w:tr>
        <w:trPr>
          <w:tblHeader w:val="true"/>
          <w:cantSplit w:val="false"/>
        </w:trPr>
        <w:tc>
          <w:tcPr>
            <w:tcW w:type="dxa" w:w="4287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1338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2275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Окончательная дата подачи заявления</w:t>
            </w:r>
          </w:p>
        </w:tc>
        <w:tc>
          <w:tcPr>
            <w:tcW w:type="dxa" w:w="191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конкурса – заседание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Научно-образовательный центр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"Актуальные проблемы истории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и теории культуры"</w:t>
            </w:r>
          </w:p>
        </w:tc>
        <w:tc>
          <w:tcPr>
            <w:tcW w:type="dxa" w:w="133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227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04.02.2020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913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20.02.2020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пр. Ленина, 76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в 15:15           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501"/>
        <w:gridCol w:w="2049"/>
        <w:gridCol w:w="1613"/>
        <w:gridCol w:w="1637"/>
      </w:tblGrid>
      <w:tr>
        <w:trPr>
          <w:tblHeader w:val="true"/>
          <w:cantSplit w:val="false"/>
        </w:trPr>
        <w:tc>
          <w:tcPr>
            <w:tcW w:type="dxa" w:w="4501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2049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161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Окончательная дата подачи заявления</w:t>
            </w:r>
          </w:p>
        </w:tc>
        <w:tc>
          <w:tcPr>
            <w:tcW w:type="dxa" w:w="1637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конкурса – заседание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50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Научно-исследовательский центр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спортивной науки</w:t>
            </w:r>
          </w:p>
        </w:tc>
        <w:tc>
          <w:tcPr>
            <w:tcW w:type="dxa" w:w="204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613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04.02.2020 г.</w:t>
            </w:r>
          </w:p>
        </w:tc>
        <w:tc>
          <w:tcPr>
            <w:tcW w:type="dxa" w:w="1637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20.02.2020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пр. Ленина, 76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 15:30           </w:t>
            </w:r>
          </w:p>
        </w:tc>
      </w:tr>
      <w:tr>
        <w:trPr>
          <w:cantSplit w:val="false"/>
        </w:trPr>
        <w:tc>
          <w:tcPr>
            <w:tcW w:type="dxa" w:w="450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Научно-исследовательский центр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спортивной науки</w:t>
            </w:r>
          </w:p>
        </w:tc>
        <w:tc>
          <w:tcPr>
            <w:tcW w:type="dxa" w:w="204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6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3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Научно-исследовательский центр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спортивной науки</w:t>
            </w:r>
          </w:p>
        </w:tc>
        <w:tc>
          <w:tcPr>
            <w:tcW w:type="dxa" w:w="204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Младший научный сотрудник</w:t>
            </w:r>
          </w:p>
        </w:tc>
        <w:tc>
          <w:tcPr>
            <w:tcW w:type="dxa" w:w="16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3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0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Инновационный отдел Управления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научной и инновационной деятельности</w:t>
            </w:r>
          </w:p>
        </w:tc>
        <w:tc>
          <w:tcPr>
            <w:tcW w:type="dxa" w:w="2049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Инженер-исследователь</w:t>
            </w:r>
          </w:p>
        </w:tc>
        <w:tc>
          <w:tcPr>
            <w:tcW w:type="dxa" w:w="161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637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Место (адрес) приема заявлений для участия в конкурсе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 Управление по работе с кадрами, г. Челябинск, пр. имени В.И. Ленина, 76,  каб.: 130, 132  (главный корпус).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Телефоны для справок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 267-92-31, 267-97-80.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 заявлению на замещение должности должны быть приложены:</w:t>
      </w:r>
    </w:p>
    <w:p>
      <w:pPr>
        <w:pStyle w:val="style20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список опубликованных и приравненных к ним научных и учебно-методических работ (за последние 5 лет);</w:t>
      </w:r>
    </w:p>
    <w:p>
      <w:pPr>
        <w:pStyle w:val="style20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копии документов, подтверждающих соответствие претендента квалификационным требованиям,</w:t>
      </w:r>
    </w:p>
    <w:p>
      <w:pPr>
        <w:pStyle w:val="style20"/>
        <w:widowControl/>
        <w:numPr>
          <w:ilvl w:val="0"/>
          <w:numId w:val="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>
      <w:pPr>
        <w:pStyle w:val="style20"/>
        <w:widowControl/>
        <w:numPr>
          <w:ilvl w:val="0"/>
          <w:numId w:val="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>
      <w:pPr>
        <w:pStyle w:val="style20"/>
        <w:widowControl/>
        <w:numPr>
          <w:ilvl w:val="0"/>
          <w:numId w:val="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справка о предварительном или периодическом медицинском осмотре.</w:t>
      </w:r>
    </w:p>
    <w:p>
      <w:pPr>
        <w:pStyle w:val="style4"/>
        <w:widowControl/>
        <w:spacing w:after="150" w:before="150" w:line="264" w:lineRule="auto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  <w:t>Квалификационные требования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Младший 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4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бакалавриат.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5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2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Инженер-исследователь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7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бакалавриат.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8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9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3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9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p>
      <w:pPr>
        <w:pStyle w:val="style4"/>
        <w:widowControl/>
        <w:spacing w:after="150" w:before="150" w:line="264" w:lineRule="auto"/>
        <w:ind w:hanging="0" w:left="0" w:right="0"/>
        <w:contextualSpacing w:val="false"/>
        <w:rPr>
          <w:b/>
          <w:i w:val="false"/>
          <w:caps w:val="false"/>
          <w:smallCaps w:val="false"/>
          <w:color w:val="002E66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  <w:t>Для участия в конкурсе научных работников</w:t>
      </w:r>
      <w:r>
        <w:rPr>
          <w:b/>
          <w:i w:val="false"/>
          <w:caps w:val="false"/>
          <w:smallCaps w:val="false"/>
          <w:color w:val="002E66"/>
          <w:spacing w:val="0"/>
          <w:sz w:val="24"/>
        </w:rPr>
        <w:t>:</w:t>
      </w:r>
    </w:p>
    <w:p>
      <w:pPr>
        <w:pStyle w:val="style20"/>
        <w:widowControl/>
        <w:numPr>
          <w:ilvl w:val="0"/>
          <w:numId w:val="1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ведущий научный сотрудник;</w:t>
      </w:r>
    </w:p>
    <w:p>
      <w:pPr>
        <w:pStyle w:val="style20"/>
        <w:widowControl/>
        <w:numPr>
          <w:ilvl w:val="0"/>
          <w:numId w:val="1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старший научный сотрудник;</w:t>
      </w:r>
    </w:p>
    <w:p>
      <w:pPr>
        <w:pStyle w:val="style20"/>
        <w:widowControl/>
        <w:numPr>
          <w:ilvl w:val="0"/>
          <w:numId w:val="1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научный сотрудник.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Для участия в конкурсе претенденту необходимо разместить на портале вакансий заявку по адресу «http://ученые-исследователи.рф»: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а) фамилию, имя и отчество (при наличии) претендента;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б) дату рождения претендента;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в) сведения о высшем образовании и квалификации, ученой степени (при наличии) и ученом звании (при наличии);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г) сведения о стаже и опыте работы;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д) сведения об отрасли (области) наук, в которых намерен работать претендент;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887"/>
        <w:gridCol w:w="1600"/>
        <w:gridCol w:w="1428"/>
        <w:gridCol w:w="1723"/>
      </w:tblGrid>
      <w:tr>
        <w:trPr>
          <w:tblHeader w:val="true"/>
          <w:cantSplit w:val="false"/>
        </w:trPr>
        <w:tc>
          <w:tcPr>
            <w:tcW w:type="dxa" w:w="4887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1600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428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 на портале</w:t>
            </w:r>
          </w:p>
        </w:tc>
        <w:tc>
          <w:tcPr>
            <w:tcW w:type="dxa" w:w="1723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конкурса – заседание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Автомобильный транспорт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1428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с 13 января 2020 г.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по 17 февраля 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с 13 января 2020 г. 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по 17 февраля 2020 г.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723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20.02.2020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время: 14:00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20.02.2020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время: 14:00 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Автомобильный транспорт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Автомобильный транспорт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Информационно-аналитическое</w:t>
              <w:br/>
              <w:t>обеспечение управления в социальных</w:t>
              <w:br/>
              <w:t>и экономических системах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Информационно-измерительная техника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Лаборатория исследований моторно-</w:t>
              <w:br/>
              <w:t>трансмиссионного блока автомобильной,</w:t>
              <w:br/>
              <w:t>дорожно-строительной и специальной техники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Лаборатория экспериментальной механики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Математическое и компьютерное моделирование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Математическое и компьютерное моделирование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Материаловедение и физико-химия материалов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Мехатроника и автоматизация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НИЛ технической самодиагностики и самоконтроля приборов и систем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Прикладная математика и программирование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Процессы и машины обработки металлов давлением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Системы автоматического управления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Строительные материалы и изделия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Теоретическая и прикладная химия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Уравнения математической физики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Экология и химическая технология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Электронные вычислительные машины</w:t>
            </w:r>
          </w:p>
        </w:tc>
        <w:tc>
          <w:tcPr>
            <w:tcW w:type="dxa" w:w="1600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Научный сотрудник</w:t>
            </w:r>
          </w:p>
        </w:tc>
        <w:tc>
          <w:tcPr>
            <w:tcW w:type="dxa" w:w="142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3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287"/>
        <w:gridCol w:w="1901"/>
        <w:gridCol w:w="1462"/>
        <w:gridCol w:w="1988"/>
      </w:tblGrid>
      <w:tr>
        <w:trPr>
          <w:tblHeader w:val="true"/>
          <w:cantSplit w:val="false"/>
        </w:trPr>
        <w:tc>
          <w:tcPr>
            <w:tcW w:type="dxa" w:w="4287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1901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</w:tc>
        <w:tc>
          <w:tcPr>
            <w:tcW w:type="dxa" w:w="1462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 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на портале</w:t>
            </w:r>
          </w:p>
        </w:tc>
        <w:tc>
          <w:tcPr>
            <w:tcW w:type="dxa" w:w="1988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конкурса – заседание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Научно-образовательный центр</w:t>
              <w:br/>
              <w:t>"Актуальные проблемы истории</w:t>
              <w:br/>
              <w:t>и теории культуры"</w:t>
            </w:r>
          </w:p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62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с 13 января 2020 г.  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по 17 февраля 2020 г.</w:t>
            </w:r>
          </w:p>
        </w:tc>
        <w:tc>
          <w:tcPr>
            <w:tcW w:type="dxa" w:w="1988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20.02.2020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время: 15:15 </w:t>
            </w:r>
          </w:p>
        </w:tc>
      </w:tr>
      <w:tr>
        <w:trPr>
          <w:cantSplit w:val="false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Психология развития и возрастное</w:t>
              <w:br/>
              <w:t>консультирование</w:t>
            </w:r>
          </w:p>
        </w:tc>
        <w:tc>
          <w:tcPr>
            <w:tcW w:type="dxa" w:w="1901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62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988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caps w:val="false"/>
          <w:smallCaps w:val="false"/>
          <w:color w:val="222324"/>
          <w:spacing w:val="0"/>
        </w:rPr>
      </w:pPr>
      <w:r>
        <w:rPr>
          <w:caps w:val="false"/>
          <w:smallCaps w:val="false"/>
          <w:color w:val="222324"/>
          <w:spacing w:val="0"/>
        </w:rPr>
        <w:t> </w:t>
      </w:r>
    </w:p>
    <w:tbl>
      <w:tblPr>
        <w:jc w:val="left"/>
        <w:tblInd w:type="dxa" w:w="0"/>
        <w:tblBorders>
          <w:top w:val="nil"/>
          <w:left w:val="nil"/>
          <w:bottom w:color="CCCCCC" w:space="0" w:sz="12" w:val="single"/>
          <w:insideH w:color="CCCCCC" w:space="0" w:sz="12" w:val="single"/>
          <w:right w:val="nil"/>
          <w:insideV w:val="nil"/>
        </w:tblBorders>
        <w:tblCellMar>
          <w:top w:type="dxa" w:w="0"/>
          <w:left w:type="dxa" w:w="0"/>
          <w:bottom w:type="dxa" w:w="28"/>
          <w:right w:type="dxa" w:w="0"/>
        </w:tblCellMar>
      </w:tblPr>
      <w:tblGrid>
        <w:gridCol w:w="4895"/>
        <w:gridCol w:w="1598"/>
        <w:gridCol w:w="1425"/>
        <w:gridCol w:w="1720"/>
      </w:tblGrid>
      <w:tr>
        <w:trPr>
          <w:tblHeader w:val="true"/>
          <w:cantSplit w:val="false"/>
        </w:trPr>
        <w:tc>
          <w:tcPr>
            <w:tcW w:type="dxa" w:w="4895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Структурное подразделение (кафедра)</w:t>
            </w:r>
          </w:p>
        </w:tc>
        <w:tc>
          <w:tcPr>
            <w:tcW w:type="dxa" w:w="1598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Должность</w:t>
            </w:r>
          </w:p>
        </w:tc>
        <w:tc>
          <w:tcPr>
            <w:tcW w:type="dxa" w:w="1425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Сроки подачи заявок на портале</w:t>
            </w:r>
          </w:p>
        </w:tc>
        <w:tc>
          <w:tcPr>
            <w:tcW w:type="dxa" w:w="1720"/>
            <w:tcBorders>
              <w:top w:val="nil"/>
              <w:left w:val="nil"/>
              <w:bottom w:color="CCCCCC" w:space="0" w:sz="12" w:val="single"/>
              <w:right w:val="nil"/>
            </w:tcBorders>
            <w:shd w:fill="auto" w:val="clear"/>
            <w:vAlign w:val="center"/>
          </w:tcPr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Место и дата проведения</w:t>
            </w:r>
          </w:p>
          <w:p>
            <w:pPr>
              <w:pStyle w:val="style25"/>
              <w:spacing w:after="15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конкурса – заседание</w:t>
            </w:r>
          </w:p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Конкурсной комиссии</w:t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Лаборатория перспективных исследований</w:t>
              <w:br/>
              <w:t>молекулярных механизмов стресса НОЦ «Биомедицинские технологии»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Ведущий научный сотрудник</w:t>
            </w:r>
          </w:p>
        </w:tc>
        <w:tc>
          <w:tcPr>
            <w:tcW w:type="dxa" w:w="1425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с 13 января 2020 г.  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по 17 февраля 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 </w:t>
            </w:r>
          </w:p>
        </w:tc>
        <w:tc>
          <w:tcPr>
            <w:tcW w:type="dxa" w:w="1720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20.02.2020 г.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г. Челябинск, пр. Ленина, 76</w:t>
            </w:r>
          </w:p>
          <w:p>
            <w:pPr>
              <w:pStyle w:val="style24"/>
              <w:spacing w:after="150" w:before="0"/>
              <w:ind w:hanging="0" w:left="0" w:right="0"/>
              <w:contextualSpacing w:val="false"/>
              <w:rPr/>
            </w:pPr>
            <w:r>
              <w:rPr/>
              <w:t>ауд. 1001 (ГК)</w:t>
            </w:r>
          </w:p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время: 15:30 </w:t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НИЛ компьютерного моделирования лекарственных средств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НИЛ компьютерное моделирование лекарственных средств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НИЛ компьютерного моделирования лекарственных средств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Пищевые и биотехнологии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95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5"/>
              <w:spacing w:after="0" w:before="0"/>
              <w:ind w:hanging="0" w:left="0" w:right="0"/>
              <w:contextualSpacing w:val="false"/>
              <w:jc w:val="left"/>
              <w:rPr/>
            </w:pPr>
            <w:r>
              <w:rPr/>
              <w:t>Научно-образовательный центр "Цифровая индустрия"</w:t>
            </w:r>
          </w:p>
        </w:tc>
        <w:tc>
          <w:tcPr>
            <w:tcW w:type="dxa" w:w="1598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24"/>
              <w:spacing w:after="0" w:before="0"/>
              <w:ind w:hanging="0" w:left="0" w:right="0"/>
              <w:contextualSpacing w:val="false"/>
              <w:rPr/>
            </w:pPr>
            <w:r>
              <w:rPr/>
              <w:t>Старший научный сотрудник</w:t>
            </w:r>
          </w:p>
        </w:tc>
        <w:tc>
          <w:tcPr>
            <w:tcW w:type="dxa" w:w="142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20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bottom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 заседании Конкурсной комиссии при себе иметь:</w:t>
      </w:r>
    </w:p>
    <w:p>
      <w:pPr>
        <w:pStyle w:val="style20"/>
        <w:widowControl/>
        <w:numPr>
          <w:ilvl w:val="0"/>
          <w:numId w:val="11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список опубликованных и приравненных к ним научных и учебно-методических работ (за последние 5 лет);</w:t>
      </w:r>
    </w:p>
    <w:p>
      <w:pPr>
        <w:pStyle w:val="style20"/>
        <w:widowControl/>
        <w:numPr>
          <w:ilvl w:val="0"/>
          <w:numId w:val="11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копии документов, подтверждающих соответствие претендента квалификационным требованиям;</w:t>
      </w:r>
    </w:p>
    <w:p>
      <w:pPr>
        <w:pStyle w:val="style20"/>
        <w:widowControl/>
        <w:numPr>
          <w:ilvl w:val="0"/>
          <w:numId w:val="11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(справка об отсутствии судимости и (или) факта уголовного преследования, либо о прекращении уголовного преследования по реабилитирующим основаниям; справку о предварительном или периодическом медицинском осмотре).</w:t>
      </w:r>
    </w:p>
    <w:p>
      <w:pPr>
        <w:pStyle w:val="style4"/>
        <w:widowControl/>
        <w:spacing w:after="150" w:before="150" w:line="264" w:lineRule="auto"/>
        <w:ind w:hanging="0" w:left="0" w:right="0"/>
        <w:contextualSpacing w:val="false"/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002E66"/>
          <w:spacing w:val="0"/>
          <w:sz w:val="24"/>
        </w:rPr>
        <w:t>Квалификационные требования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Ведущий 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12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специалитет или магистратура.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13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10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14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4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14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месте;</w:t>
      </w:r>
    </w:p>
    <w:p>
      <w:pPr>
        <w:pStyle w:val="style20"/>
        <w:widowControl/>
        <w:numPr>
          <w:ilvl w:val="0"/>
          <w:numId w:val="14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научные труды (авторские свидетельства на изобретения).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Старший 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15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специалитет или магистратура.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16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10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17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5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17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месте;</w:t>
      </w:r>
    </w:p>
    <w:p>
      <w:pPr>
        <w:pStyle w:val="style20"/>
        <w:widowControl/>
        <w:numPr>
          <w:ilvl w:val="0"/>
          <w:numId w:val="17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научные труды (авторские свидетельства на изобретения).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rStyle w:val="style15"/>
          <w:b/>
          <w:i w:val="false"/>
          <w:caps w:val="false"/>
          <w:smallCaps w:val="false"/>
          <w:color w:val="222324"/>
          <w:spacing w:val="0"/>
          <w:sz w:val="24"/>
        </w:rPr>
        <w:t>Научный сотрудник</w:t>
      </w: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: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образованию и обучению:</w:t>
      </w:r>
    </w:p>
    <w:p>
      <w:pPr>
        <w:pStyle w:val="style20"/>
        <w:widowControl/>
        <w:numPr>
          <w:ilvl w:val="0"/>
          <w:numId w:val="18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высшее образование – бакалавриат.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Требования к опыту практической работы:</w:t>
      </w:r>
    </w:p>
    <w:p>
      <w:pPr>
        <w:pStyle w:val="style20"/>
        <w:widowControl/>
        <w:numPr>
          <w:ilvl w:val="0"/>
          <w:numId w:val="19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не менее 3 лет работы по специальности или наличие ученой степени без предъявления требований к стажу работы.</w:t>
      </w:r>
    </w:p>
    <w:p>
      <w:pPr>
        <w:pStyle w:val="style20"/>
        <w:widowControl/>
        <w:spacing w:after="150" w:before="0"/>
        <w:ind w:hanging="0" w:left="0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Особые условия допуска к работе:</w:t>
      </w:r>
    </w:p>
    <w:p>
      <w:pPr>
        <w:pStyle w:val="style20"/>
        <w:widowControl/>
        <w:numPr>
          <w:ilvl w:val="0"/>
          <w:numId w:val="2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 </w:t>
      </w:r>
      <w:hyperlink r:id="rId6">
        <w:r>
          <w:rPr>
            <w:rStyle w:val="style18"/>
            <w:b w:val="false"/>
            <w:i w:val="false"/>
            <w:caps w:val="false"/>
            <w:smallCaps w:val="false"/>
            <w:strike w:val="false"/>
            <w:dstrike w:val="false"/>
            <w:color w:val="2F009E"/>
            <w:spacing w:val="0"/>
            <w:sz w:val="24"/>
            <w:u w:val="none"/>
            <w:effect w:val="none"/>
            <w:shd w:fill="auto" w:val="clear"/>
          </w:rPr>
          <w:t>порядке</w:t>
        </w:r>
      </w:hyperlink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, установленном законодательством Российской Федерации;</w:t>
      </w:r>
    </w:p>
    <w:p>
      <w:pPr>
        <w:pStyle w:val="style20"/>
        <w:widowControl/>
        <w:numPr>
          <w:ilvl w:val="0"/>
          <w:numId w:val="20"/>
        </w:numPr>
        <w:tabs>
          <w:tab w:leader="none" w:pos="0" w:val="left"/>
        </w:tabs>
        <w:spacing w:after="150" w:before="0"/>
        <w:ind w:hanging="0" w:left="707" w:right="0"/>
        <w:contextualSpacing w:val="false"/>
        <w:rPr>
          <w:b w:val="false"/>
          <w:i w:val="false"/>
          <w:caps w:val="false"/>
          <w:smallCaps w:val="false"/>
          <w:color w:val="222324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222324"/>
          <w:spacing w:val="0"/>
          <w:sz w:val="24"/>
        </w:rPr>
        <w:t>прохождение работником инструктажа по технике безопасности на рабочем месте.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3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4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5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6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7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8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9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0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4" w:type="paragraph">
    <w:name w:val="Заголовок 4"/>
    <w:basedOn w:val="style19"/>
    <w:next w:val="style20"/>
    <w:pPr/>
    <w:rPr>
      <w:rFonts w:ascii="Times New Roman" w:cs="Mangal" w:eastAsia="SimSun" w:hAnsi="Times New Roman"/>
      <w:b/>
      <w:bCs/>
      <w:sz w:val="24"/>
      <w:szCs w:val="24"/>
    </w:rPr>
  </w:style>
  <w:style w:styleId="style15" w:type="character">
    <w:name w:val="Выделение жирным"/>
    <w:next w:val="style15"/>
    <w:rPr>
      <w:b/>
      <w:bCs/>
    </w:rPr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Символ нумерации"/>
    <w:next w:val="style17"/>
    <w:rPr/>
  </w:style>
  <w:style w:styleId="style18" w:type="character">
    <w:name w:val="Интернет-ссылка"/>
    <w:next w:val="style18"/>
    <w:rPr>
      <w:color w:val="000080"/>
      <w:u w:val="single"/>
      <w:lang w:bidi="zxx-" w:eastAsia="zxx-" w:val="zxx-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91202.3000/" TargetMode="External"/><Relationship Id="rId3" Type="http://schemas.openxmlformats.org/officeDocument/2006/relationships/hyperlink" Target="garantf1://12091202.3000/" TargetMode="External"/><Relationship Id="rId4" Type="http://schemas.openxmlformats.org/officeDocument/2006/relationships/hyperlink" Target="garantf1://12091202.3000/" TargetMode="External"/><Relationship Id="rId5" Type="http://schemas.openxmlformats.org/officeDocument/2006/relationships/hyperlink" Target="garantf1://12091202.3000/" TargetMode="External"/><Relationship Id="rId6" Type="http://schemas.openxmlformats.org/officeDocument/2006/relationships/hyperlink" Target="garantf1://12091202.3000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2020-10-14T15:54:16Z</dcterms:created>
  <dcterms:modified xsi:type="dcterms:W3CDTF">2020-10-14T15:57:39Z</dcterms:modified>
  <cp:revision>1</cp:revision>
</cp:coreProperties>
</file>