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widowControl/>
        <w:spacing w:after="150" w:before="0"/>
        <w:ind w:hanging="0" w:left="0" w:right="0"/>
        <w:contextualSpacing w:val="false"/>
        <w:jc w:val="center"/>
        <w:rPr>
          <w:rStyle w:val="style15"/>
          <w:b/>
          <w:bCs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bCs/>
          <w:i w:val="false"/>
          <w:caps w:val="false"/>
          <w:smallCaps w:val="false"/>
          <w:color w:val="222324"/>
          <w:spacing w:val="0"/>
          <w:sz w:val="24"/>
          <w:lang w:val="ru-RU"/>
        </w:rPr>
        <w:t>К</w:t>
      </w:r>
      <w:r>
        <w:rPr>
          <w:rStyle w:val="style15"/>
          <w:b/>
          <w:bCs/>
          <w:i w:val="false"/>
          <w:caps w:val="false"/>
          <w:smallCaps w:val="false"/>
          <w:color w:val="222324"/>
          <w:spacing w:val="0"/>
          <w:sz w:val="24"/>
        </w:rPr>
        <w:t>онкурс на замещение должностей научных работников ЮУрГУ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24 апреля 2019 г.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объявлен конкурс на замещение должностей научных работников ЮУрГУ. В конкурсное объявление включены должности, по которым сроки трудовых договоров истекают в период с 01.06.2019 г. по 30.09.2019 г., и вакантные. (Приказ Министерства образования и науки РФ от 2 сентября 2015 г. № 937 «Об утверждении перечня должностей научных работников, подлежащих замещению по конкурсу, и порядка проведения указанного конкурса», Положение о порядке проведения конкурсов на замещение должностей научных работников в ФГАОУ ВО «ЮУрГУ (НИУ)» (приказ от 20.12.2016 г. № 674))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Прием заявлений для участия в конкурсе </w:t>
      </w: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научных работников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:</w:t>
      </w:r>
    </w:p>
    <w:p>
      <w:pPr>
        <w:pStyle w:val="style18"/>
        <w:widowControl/>
        <w:numPr>
          <w:ilvl w:val="0"/>
          <w:numId w:val="1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главный научный сотрудник;</w:t>
      </w:r>
    </w:p>
    <w:p>
      <w:pPr>
        <w:pStyle w:val="style18"/>
        <w:widowControl/>
        <w:numPr>
          <w:ilvl w:val="0"/>
          <w:numId w:val="1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младший научный сотрудник/инженер-исследователь;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заканчивается за 15 календарных дней до даты проведения конкурса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3656"/>
        <w:gridCol w:w="2583"/>
        <w:gridCol w:w="1875"/>
        <w:gridCol w:w="1524"/>
      </w:tblGrid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Структурное подразделение (кафедра)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Должность</w:t>
            </w:r>
          </w:p>
        </w:tc>
        <w:tc>
          <w:tcPr>
            <w:tcW w:type="dxa" w:w="18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Окончательная дата подачи заявления</w:t>
            </w:r>
          </w:p>
        </w:tc>
        <w:tc>
          <w:tcPr>
            <w:tcW w:type="dxa" w:w="152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Место и дата проведения конкурса</w:t>
              <w:br/>
              <w:t>-</w:t>
              <w:br/>
              <w:t>заседание Конкурсной комиссии</w:t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«Аэрокосмические технологии»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03.06.2019 г.</w:t>
            </w:r>
          </w:p>
        </w:tc>
        <w:tc>
          <w:tcPr>
            <w:tcW w:type="dxa" w:w="1524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19.06.2019 г.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г. Челябинск,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пр. Ленина, 76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ауд. 1001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в 15:00</w:t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«Аэрокосмические технологии»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Информационно-измерительная техника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Автоматика и управление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Автомобильный транспорт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Пирометаллургические процессы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Пирометаллургические процессы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Пирометаллургические процессы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Пирометаллургические процессы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Пирометаллургические процессы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Пирометаллургические процессы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Теоретические основы электротехники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Теоретические основы электротехники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Уравнения математической физики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Колесные и гусеничные машины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Колесные и гусеничные машины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Математическое и компьютерное моделирование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Математическое и компьютерное моделирование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Системное программирование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Системное программирование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Системное программирование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Системное программирование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Электрические станции, сети и системы электроснабжения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Мехатроника и автоматизация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Научно-образовательный центр евразийских исследований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Главный научный сотрудник</w:t>
            </w:r>
          </w:p>
        </w:tc>
        <w:tc>
          <w:tcPr>
            <w:tcW w:type="dxa" w:w="1875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03.06.2019 г.</w:t>
            </w:r>
          </w:p>
        </w:tc>
        <w:tc>
          <w:tcPr>
            <w:tcW w:type="dxa" w:w="1524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19.06.2019 г.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г. Челябинск,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пр. Ленина, 76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ауд. 1001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в 16:15</w:t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Научно-образовательный центр евразийских исследований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Младший научный сотрудник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 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 </w:t>
            </w:r>
          </w:p>
        </w:tc>
        <w:tc>
          <w:tcPr>
            <w:tcW w:type="dxa" w:w="18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 </w:t>
            </w:r>
          </w:p>
        </w:tc>
        <w:tc>
          <w:tcPr>
            <w:tcW w:type="dxa" w:w="152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Научно-исследовательский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центр спортивной науки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Главный научный сотрудник</w:t>
            </w:r>
          </w:p>
        </w:tc>
        <w:tc>
          <w:tcPr>
            <w:tcW w:type="dxa" w:w="1875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11.06.2019 г.</w:t>
            </w:r>
          </w:p>
        </w:tc>
        <w:tc>
          <w:tcPr>
            <w:tcW w:type="dxa" w:w="1524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27.06.2019 г.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г. Челябинск,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пр. Ленина, 76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ауд. 1001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в 14:00</w:t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«Молекулярно-генетических исследований здоровья и развития человека» НОЦ «Биомедицинские технологии»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Младший научный сотрудник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«Цифровая индустрия»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Младший научный сотрудник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квантовой обработки информации и квантовых вычислений НОЦ «Цифровая индустрия»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5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квантовой обработки информации и квантовых вычислений НОЦ «Цифровая индустрия»</w:t>
            </w:r>
          </w:p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Инженер-исследователь</w:t>
            </w:r>
          </w:p>
        </w:tc>
        <w:tc>
          <w:tcPr>
            <w:tcW w:type="dxa" w:w="187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524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Место (адрес) приема заявлений для участия в конкурсе: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Управление по работе с кадрами, г. Челябинск, пр. имени В. И. Ленина, 76, каб.: 130, 132, 142, 144 (главный корпус)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Телефоны для справок: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267-92-31; 267-97-80; 267-94-85; 267-93-99.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К заявлению на замещение должности должны быть приложены: список опубликованных и приравненных к ним научных и учебно-методических работ (за последние 5 лет);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(справка об отсутствии судимости и (или) факта уголовного преследования, либо о прекращении уголовного преследования по реабилитирующим основаниям; справку о предварительном или периодическом медицинском осмотре).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Квалификационные требования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Главный научный сотрудник: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ученая степень доктора наук; наличие крупных научных трудов или дипломов на открытия и авторских свидетельств на изобретения, а также реализованных на практике результатов; научный авторитет в соответствующей области знаний.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Младший научный сотрудник: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Инженер-исследователь: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высшее профессиональное образование без предъявления требований к стажу работы.</w:t>
      </w:r>
    </w:p>
    <w:p>
      <w:pPr>
        <w:pStyle w:val="style24"/>
        <w:rPr/>
      </w:pPr>
      <w:r>
        <w:rPr/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Для участия в конкурсе научных работников:</w:t>
      </w:r>
    </w:p>
    <w:p>
      <w:pPr>
        <w:pStyle w:val="style18"/>
        <w:widowControl/>
        <w:numPr>
          <w:ilvl w:val="0"/>
          <w:numId w:val="2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ведущий научный сотрудник</w:t>
      </w:r>
    </w:p>
    <w:p>
      <w:pPr>
        <w:pStyle w:val="style18"/>
        <w:widowControl/>
        <w:numPr>
          <w:ilvl w:val="0"/>
          <w:numId w:val="2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старший научный сотрудник</w:t>
      </w:r>
    </w:p>
    <w:p>
      <w:pPr>
        <w:pStyle w:val="style18"/>
        <w:widowControl/>
        <w:numPr>
          <w:ilvl w:val="0"/>
          <w:numId w:val="2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научный сотрудник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Для участия в конкурсе претенденту необходимо разместить на портале вакансий заявку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по адресу «http://ученые-исследователи.рф»: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а) фамилию, имя и отчество (при наличии) претендента;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б) дату рождения претендента;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в) сведения о высшем образовании и квалификации, ученой степени (при наличии) и ученом звании (при наличии);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г) сведения о стаже и опыте работы;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д) сведения об отрасли (области) наук, в которых намерен работать претендент;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4499"/>
        <w:gridCol w:w="1566"/>
        <w:gridCol w:w="1708"/>
        <w:gridCol w:w="1865"/>
      </w:tblGrid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Структурное подразделение (кафедра)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Должность</w:t>
            </w:r>
          </w:p>
        </w:tc>
        <w:tc>
          <w:tcPr>
            <w:tcW w:type="dxa" w:w="170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Сроки подачи заявок на портале</w:t>
            </w:r>
          </w:p>
        </w:tc>
        <w:tc>
          <w:tcPr>
            <w:tcW w:type="dxa" w:w="186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Место и дата проведения конкурса</w:t>
              <w:br/>
              <w:t>–</w:t>
              <w:br/>
              <w:t>заседание Конкурсной комиссии</w:t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Градостроительство, инженерные сети и системы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Ведущий научный сотрудник</w:t>
            </w:r>
          </w:p>
        </w:tc>
        <w:tc>
          <w:tcPr>
            <w:tcW w:type="dxa" w:w="1708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 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с 20 мая 2019 г.  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по 14 июня2019 г.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 </w:t>
            </w:r>
          </w:p>
        </w:tc>
        <w:tc>
          <w:tcPr>
            <w:tcW w:type="dxa" w:w="1865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19.06.2019 г.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г. Челябинск, пр. Ленина, 76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ауд.</w:t>
            </w:r>
            <w:r>
              <w:rPr>
                <w:rStyle w:val="style15"/>
              </w:rPr>
              <w:t> </w:t>
            </w:r>
            <w:r>
              <w:rPr>
                <w:rStyle w:val="style15"/>
                <w:b/>
              </w:rPr>
              <w:t>1001 </w:t>
            </w:r>
            <w:r>
              <w:rPr/>
              <w:t>(ГК)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/>
              <w:t>время: </w:t>
            </w:r>
            <w:r>
              <w:rPr>
                <w:rStyle w:val="style15"/>
                <w:b/>
              </w:rPr>
              <w:t>15:00 </w:t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роста кристаллов НОЦ «Нанотехнологии»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Материаловедение и физико-химия материалов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«Аэрокосмические технологии»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«Нанотехнологии»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«Нанотехнологии»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«Нанотехнологии»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Оборудование и технология сварочного производства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Экология и химическая технология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евразийских исследований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Ведущий научный сотрудник</w:t>
            </w:r>
          </w:p>
        </w:tc>
        <w:tc>
          <w:tcPr>
            <w:tcW w:type="dxa" w:w="1708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с 20 мая 2019 г.  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по 14 июня2019 г.</w:t>
            </w:r>
          </w:p>
        </w:tc>
        <w:tc>
          <w:tcPr>
            <w:tcW w:type="dxa" w:w="1865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19.06.2019 г.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г. Челябинск, пр. Ленина, 76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ауд. </w:t>
            </w:r>
            <w:r>
              <w:rPr>
                <w:rStyle w:val="style15"/>
                <w:b/>
              </w:rPr>
              <w:t>1001</w:t>
            </w:r>
            <w:r>
              <w:rPr/>
              <w:t> (ГК)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/>
              <w:t>время: </w:t>
            </w:r>
            <w:r>
              <w:rPr>
                <w:rStyle w:val="style15"/>
                <w:b/>
              </w:rPr>
              <w:t>16:15 </w:t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евразийских исследований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Ведущий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НОЦ евразийских исследований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НИЛ миграционных исследований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Прикладная экономика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Экономическая теория, региональная экономика, государственное и муниципальное управление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«Молекулярно-генетических исследований здоровья и развития человека» НОЦ «Биомедицинские технологии»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Научный сотрудник</w:t>
            </w:r>
          </w:p>
        </w:tc>
        <w:tc>
          <w:tcPr>
            <w:tcW w:type="dxa" w:w="1708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с 20 мая 2019 г. 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по 14 июня2019</w:t>
            </w:r>
            <w:r>
              <w:rPr>
                <w:rStyle w:val="style15"/>
              </w:rPr>
              <w:t> </w:t>
            </w:r>
            <w:r>
              <w:rPr>
                <w:rStyle w:val="style15"/>
                <w:b/>
              </w:rPr>
              <w:t>г.</w:t>
            </w:r>
          </w:p>
        </w:tc>
        <w:tc>
          <w:tcPr>
            <w:tcW w:type="dxa" w:w="1865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27.06.2019 г.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г. Челябинск, пр. Ленина, 76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/>
            </w:pPr>
            <w:r>
              <w:rPr/>
              <w:t>ауд. </w:t>
            </w:r>
            <w:r>
              <w:rPr>
                <w:rStyle w:val="style15"/>
                <w:b/>
              </w:rPr>
              <w:t>1001</w:t>
            </w:r>
            <w:r>
              <w:rPr/>
              <w:t> (ГК)</w:t>
            </w:r>
          </w:p>
          <w:p>
            <w:pPr>
              <w:pStyle w:val="style22"/>
              <w:spacing w:after="150" w:before="0"/>
              <w:ind w:hanging="0" w:left="0" w:right="0"/>
              <w:contextualSpacing w:val="false"/>
              <w:rPr>
                <w:rStyle w:val="style15"/>
                <w:b/>
              </w:rPr>
            </w:pPr>
            <w:r>
              <w:rPr/>
              <w:t>время: </w:t>
            </w:r>
            <w:r>
              <w:rPr>
                <w:rStyle w:val="style15"/>
                <w:b/>
              </w:rPr>
              <w:t>14:00 </w:t>
            </w:r>
          </w:p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квантовой обработки информации и квантовых вычислений 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квантовой обработки информации и квантовых вычислений 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перспективных исследований молекулярных механизмов стресса НОЦ «Биомедицинские технологии» 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сенсорики 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Ведущий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сенсорики 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сенсорики 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сенсорики 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Лаборатория сенсорики 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Научно-исследовательский центр спортивной науки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Ведущий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НИЛ компьютерного моделирования лекарственных средств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НИЛ компьютерного моделирования лекарственных средств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НИЛ компьютерного моделирования лекарственных средств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НИЛ компьютерного моделирования лекарственных средств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НИЛ компьютерного моделирования лекарственных средств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НИЛ компьютерного моделирования лекарственных средств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«Цифровая индустрия»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НОЦ «Биомедицинские технологии»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Пищевые и биотехнологии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Пищевые и биотехнологии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Пищевые и биотехнологии</w:t>
            </w:r>
          </w:p>
        </w:tc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  <w:t>Старший научный сотрудник</w:t>
            </w:r>
          </w:p>
        </w:tc>
        <w:tc>
          <w:tcPr>
            <w:tcW w:type="dxa" w:w="1708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6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На заседание Конкурсной комиссии при себе иметь:</w:t>
      </w:r>
    </w:p>
    <w:p>
      <w:pPr>
        <w:pStyle w:val="style18"/>
        <w:widowControl/>
        <w:numPr>
          <w:ilvl w:val="0"/>
          <w:numId w:val="3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список опубликованных и приравненных к ним научных и учебно-методических работ (за последние 5 лет);</w:t>
      </w:r>
    </w:p>
    <w:p>
      <w:pPr>
        <w:pStyle w:val="style18"/>
        <w:widowControl/>
        <w:numPr>
          <w:ilvl w:val="0"/>
          <w:numId w:val="3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копии документов, подтверждающих соответствие претендента квалификационным требованиям;</w:t>
      </w:r>
    </w:p>
    <w:p>
      <w:pPr>
        <w:pStyle w:val="style18"/>
        <w:widowControl/>
        <w:numPr>
          <w:ilvl w:val="0"/>
          <w:numId w:val="3"/>
        </w:numPr>
        <w:tabs>
          <w:tab w:leader="none" w:pos="0" w:val="left"/>
        </w:tabs>
        <w:spacing w:after="150" w:before="0"/>
        <w:ind w:hanging="0" w:left="707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 (справка об отсутствии судимости и (или) факта уголовного преследования, либо о прекращении уголовного преследования по реабилитирующим основаниям; справку о предварительном или периодическом медицинском осмотре).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Квалификационные требования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Ведущий научный сотрудник: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ученая степень доктора наук или кандидата наук, научные труды или авторские свидетельства на изобретения, а также реализованные на практике крупные проекты и разработки.</w:t>
      </w:r>
    </w:p>
    <w:p>
      <w:pPr>
        <w:pStyle w:val="style18"/>
        <w:widowControl/>
        <w:spacing w:after="15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Старший научный сотрудник: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высшее профессиональное образование  и опыт работы по соответствующей специальности не мене 10 лет, наличие научных трудов или авторских свидетельств на изобретения. При наличии ученой степени – без предъявления требований к стажу работы.</w:t>
      </w:r>
    </w:p>
    <w:p>
      <w:pPr>
        <w:pStyle w:val="style18"/>
        <w:widowControl/>
        <w:spacing w:after="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222324"/>
          <w:spacing w:val="0"/>
          <w:sz w:val="24"/>
        </w:rPr>
      </w:pPr>
      <w:r>
        <w:rPr>
          <w:rStyle w:val="style15"/>
          <w:b/>
          <w:i w:val="false"/>
          <w:caps w:val="false"/>
          <w:smallCaps w:val="false"/>
          <w:color w:val="222324"/>
          <w:spacing w:val="0"/>
          <w:sz w:val="24"/>
        </w:rPr>
        <w:t>Научный сотрудник:</w:t>
      </w:r>
      <w:r>
        <w:rPr>
          <w:b w:val="false"/>
          <w:i w:val="false"/>
          <w:caps w:val="false"/>
          <w:smallCaps w:val="false"/>
          <w:color w:val="222324"/>
          <w:spacing w:val="0"/>
          <w:sz w:val="24"/>
        </w:rPr>
        <w:t> 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– без предъявления требований к стажу работы.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suff w:val="nothing"/>
      <w:lvlText w:val=""/>
      <w:lvlJc w:val="left"/>
      <w:pPr>
        <w:tabs>
          <w:tab w:pos="707" w:val="num"/>
        </w:tabs>
        <w:ind w:hanging="0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pos="707" w:val="num"/>
        </w:tabs>
        <w:ind w:hanging="0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pos="707" w:val="num"/>
        </w:tabs>
        <w:ind w:hanging="0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character">
    <w:name w:val="Выделение жирным"/>
    <w:next w:val="style15"/>
    <w:rPr>
      <w:b/>
      <w:bCs/>
    </w:rPr>
  </w:style>
  <w:style w:styleId="style16" w:type="character">
    <w:name w:val="Маркеры списка"/>
    <w:next w:val="style16"/>
    <w:rPr>
      <w:rFonts w:ascii="OpenSymbol" w:cs="OpenSymbol" w:eastAsia="OpenSymbol" w:hAnsi="OpenSymbol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Заголовок таблицы"/>
    <w:basedOn w:val="style22"/>
    <w:next w:val="style23"/>
    <w:pPr>
      <w:suppressLineNumbers/>
      <w:jc w:val="center"/>
    </w:pPr>
    <w:rPr>
      <w:b/>
      <w:bCs/>
    </w:rPr>
  </w:style>
  <w:style w:styleId="style24" w:type="paragraph">
    <w:name w:val="Горизонтальная линия"/>
    <w:basedOn w:val="style0"/>
    <w:next w:val="style18"/>
    <w:pPr>
      <w:suppressLineNumbers/>
      <w:pBdr>
        <w:top w:val="nil"/>
        <w:left w:val="nil"/>
        <w:bottom w:color="808080" w:space="0" w:sz="2" w:val="double"/>
        <w:insideH w:color="808080" w:space="0" w:sz="2" w:val="double"/>
        <w:right w:val="nil"/>
        <w:insideV w:val="nil"/>
      </w:pBdr>
      <w:spacing w:after="283" w:before="0"/>
      <w:contextualSpacing w:val="false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2020-10-14T15:50:37Z</dcterms:created>
  <dcterms:modified xsi:type="dcterms:W3CDTF">2020-10-14T15:51:34Z</dcterms:modified>
  <cp:revision>1</cp:revision>
</cp:coreProperties>
</file>