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BD" w:rsidRPr="007D0B4D" w:rsidRDefault="00DB68BD" w:rsidP="00DB68BD">
      <w:pPr>
        <w:spacing w:after="120"/>
        <w:ind w:right="91"/>
        <w:rPr>
          <w:szCs w:val="28"/>
        </w:rPr>
      </w:pPr>
      <w:bookmarkStart w:id="0" w:name="_Hlk199428185"/>
      <w:r w:rsidRPr="007D0B4D">
        <w:rPr>
          <w:szCs w:val="28"/>
        </w:rPr>
        <w:t xml:space="preserve">Учет </w:t>
      </w:r>
      <w:proofErr w:type="gramStart"/>
      <w:r w:rsidRPr="007D0B4D">
        <w:rPr>
          <w:szCs w:val="28"/>
        </w:rPr>
        <w:t>индивидуальных достижений</w:t>
      </w:r>
      <w:proofErr w:type="gramEnd"/>
      <w:r w:rsidRPr="007D0B4D">
        <w:rPr>
          <w:szCs w:val="28"/>
        </w:rPr>
        <w:t xml:space="preserve"> поступающих осуществляется путем начисления поступающему баллов, которые включаются в сумму конкурсных баллов:</w:t>
      </w:r>
    </w:p>
    <w:p w:rsidR="00DB68BD" w:rsidRPr="009141D2" w:rsidRDefault="00DB68BD" w:rsidP="00DB68BD">
      <w:pPr>
        <w:spacing w:after="120"/>
        <w:ind w:right="91"/>
        <w:rPr>
          <w:szCs w:val="28"/>
        </w:rPr>
      </w:pPr>
      <w:r>
        <w:rPr>
          <w:szCs w:val="28"/>
        </w:rPr>
        <w:t>– </w:t>
      </w:r>
      <w:r w:rsidRPr="009141D2">
        <w:rPr>
          <w:szCs w:val="28"/>
        </w:rPr>
        <w:t xml:space="preserve">за общие индивидуальные достижения, перечень которых установлен Университетом; </w:t>
      </w:r>
    </w:p>
    <w:p w:rsidR="00DB68BD" w:rsidRPr="009141D2" w:rsidRDefault="00DB68BD" w:rsidP="00DB68BD">
      <w:pPr>
        <w:spacing w:after="120"/>
        <w:ind w:right="91"/>
        <w:rPr>
          <w:szCs w:val="28"/>
        </w:rPr>
      </w:pPr>
      <w:r>
        <w:rPr>
          <w:szCs w:val="28"/>
        </w:rPr>
        <w:t>– </w:t>
      </w:r>
      <w:r w:rsidRPr="009141D2">
        <w:rPr>
          <w:szCs w:val="28"/>
        </w:rPr>
        <w:t xml:space="preserve">за целевые индивидуальные достижения, в качестве которых рассматривается участие в проводимых заказчиком целевого обучения мероприятиях по профессиональной ориентации (далее </w:t>
      </w:r>
      <w:proofErr w:type="spellStart"/>
      <w:r w:rsidRPr="009141D2">
        <w:rPr>
          <w:szCs w:val="28"/>
        </w:rPr>
        <w:t>профориентационные</w:t>
      </w:r>
      <w:proofErr w:type="spellEnd"/>
      <w:r w:rsidRPr="009141D2">
        <w:rPr>
          <w:szCs w:val="28"/>
        </w:rPr>
        <w:t xml:space="preserve"> мероприятия), которые учитываются в соответствии с пунктом </w:t>
      </w:r>
      <w:r w:rsidRPr="005D2156">
        <w:rPr>
          <w:szCs w:val="28"/>
        </w:rPr>
        <w:t>92</w:t>
      </w:r>
      <w:r w:rsidRPr="009141D2">
        <w:rPr>
          <w:szCs w:val="28"/>
        </w:rPr>
        <w:t xml:space="preserve"> настоящего Порядка при приеме на обучение на места в пределах целевой квоты в дополнение к баллам за общие индивидуальные достижения.</w:t>
      </w:r>
    </w:p>
    <w:bookmarkEnd w:id="0"/>
    <w:p w:rsidR="00DB68BD" w:rsidRPr="009141D2" w:rsidRDefault="00DB68BD" w:rsidP="00DB68BD">
      <w:pPr>
        <w:pStyle w:val="a3"/>
        <w:spacing w:after="120"/>
        <w:ind w:left="552" w:right="91" w:firstLine="0"/>
        <w:rPr>
          <w:szCs w:val="28"/>
        </w:rPr>
      </w:pPr>
      <w:r w:rsidRPr="009141D2">
        <w:rPr>
          <w:szCs w:val="28"/>
        </w:rPr>
        <w:t>Университет устанавливает:</w:t>
      </w:r>
    </w:p>
    <w:p w:rsidR="00DB68BD" w:rsidRDefault="00DB68BD" w:rsidP="00DB68BD">
      <w:pPr>
        <w:spacing w:after="120"/>
        <w:ind w:right="91"/>
        <w:rPr>
          <w:szCs w:val="28"/>
        </w:rPr>
      </w:pPr>
      <w:r>
        <w:rPr>
          <w:szCs w:val="28"/>
        </w:rPr>
        <w:t xml:space="preserve">– </w:t>
      </w:r>
      <w:r w:rsidRPr="009141D2">
        <w:rPr>
          <w:szCs w:val="28"/>
        </w:rPr>
        <w:t>перечень общих индивидуальных достижений и порядок их учета</w:t>
      </w:r>
      <w:r>
        <w:rPr>
          <w:szCs w:val="28"/>
        </w:rPr>
        <w:t>;</w:t>
      </w:r>
    </w:p>
    <w:p w:rsidR="00DB68BD" w:rsidRDefault="00DB68BD" w:rsidP="00DB68BD">
      <w:pPr>
        <w:spacing w:after="120"/>
        <w:ind w:right="91"/>
        <w:rPr>
          <w:szCs w:val="28"/>
        </w:rPr>
      </w:pPr>
      <w:r>
        <w:rPr>
          <w:szCs w:val="28"/>
        </w:rPr>
        <w:t>– </w:t>
      </w:r>
      <w:r w:rsidRPr="009141D2">
        <w:rPr>
          <w:szCs w:val="28"/>
        </w:rPr>
        <w:t xml:space="preserve">количество баллов за целевые индивидуальные достижения, которое составляет 5 баллов и является одинаковым для всех поступающих, которые участвовали в </w:t>
      </w:r>
      <w:proofErr w:type="spellStart"/>
      <w:r w:rsidRPr="009141D2">
        <w:rPr>
          <w:szCs w:val="28"/>
        </w:rPr>
        <w:t>профориентационных</w:t>
      </w:r>
      <w:proofErr w:type="spellEnd"/>
      <w:r w:rsidRPr="009141D2">
        <w:rPr>
          <w:szCs w:val="28"/>
        </w:rPr>
        <w:t xml:space="preserve"> мероприятиях (по всем заказчикам целевого обучения, проводившим указанные мероприятия)</w:t>
      </w:r>
      <w:r>
        <w:rPr>
          <w:szCs w:val="28"/>
        </w:rPr>
        <w:t>.</w:t>
      </w:r>
    </w:p>
    <w:p w:rsidR="00DB68BD" w:rsidRDefault="00DB68BD" w:rsidP="00DB68BD">
      <w:pPr>
        <w:spacing w:after="120"/>
        <w:ind w:right="91"/>
        <w:rPr>
          <w:szCs w:val="28"/>
        </w:rPr>
      </w:pPr>
      <w:r w:rsidRPr="00202E39">
        <w:rPr>
          <w:szCs w:val="28"/>
        </w:rPr>
        <w:t xml:space="preserve">При приеме на обучение в аспирантуру начисляются баллы за следующие </w:t>
      </w:r>
      <w:r>
        <w:rPr>
          <w:szCs w:val="28"/>
        </w:rPr>
        <w:t xml:space="preserve">общие </w:t>
      </w:r>
      <w:r w:rsidRPr="00202E39">
        <w:rPr>
          <w:szCs w:val="28"/>
        </w:rPr>
        <w:t xml:space="preserve">индивидуальные достижения: </w:t>
      </w:r>
    </w:p>
    <w:p w:rsidR="009547F4" w:rsidRPr="009547F4" w:rsidRDefault="009547F4" w:rsidP="009547F4">
      <w:pPr>
        <w:spacing w:after="0" w:line="300" w:lineRule="auto"/>
        <w:ind w:right="0" w:firstLine="567"/>
        <w:rPr>
          <w:rFonts w:eastAsia="Calibri"/>
          <w:color w:val="auto"/>
          <w:kern w:val="0"/>
          <w:lang w:eastAsia="en-US"/>
          <w14:ligatures w14:val="none"/>
        </w:rPr>
      </w:pPr>
      <w:r w:rsidRPr="009547F4">
        <w:rPr>
          <w:rFonts w:eastAsia="Calibri"/>
          <w:color w:val="auto"/>
          <w:kern w:val="0"/>
          <w:lang w:eastAsia="en-US"/>
          <w14:ligatures w14:val="none"/>
        </w:rPr>
        <w:t xml:space="preserve">1. Научные публикации </w:t>
      </w:r>
    </w:p>
    <w:p w:rsidR="009547F4" w:rsidRPr="009547F4" w:rsidRDefault="009547F4" w:rsidP="009547F4">
      <w:pPr>
        <w:spacing w:after="0" w:line="300" w:lineRule="auto"/>
        <w:ind w:right="0" w:firstLine="567"/>
        <w:rPr>
          <w:rFonts w:eastAsia="Calibri"/>
          <w:color w:val="auto"/>
          <w:kern w:val="0"/>
          <w:lang w:eastAsia="en-US"/>
          <w14:ligatures w14:val="none"/>
        </w:rPr>
      </w:pPr>
      <w:r w:rsidRPr="009547F4">
        <w:rPr>
          <w:rFonts w:eastAsia="Calibri"/>
          <w:color w:val="auto"/>
          <w:kern w:val="0"/>
          <w:lang w:eastAsia="en-US"/>
          <w14:ligatures w14:val="none"/>
        </w:rPr>
        <w:t>–</w:t>
      </w:r>
      <w:r w:rsidRPr="009547F4">
        <w:rPr>
          <w:rFonts w:eastAsia="Calibri"/>
          <w:color w:val="auto"/>
          <w:kern w:val="0"/>
          <w:lang w:eastAsia="en-US"/>
          <w14:ligatures w14:val="none"/>
        </w:rPr>
        <w:tab/>
        <w:t xml:space="preserve"> научная статья, опубликованная в рецензируемом издании, индексируемом в международных базах данных </w:t>
      </w:r>
      <w:proofErr w:type="spellStart"/>
      <w:r w:rsidRPr="009547F4">
        <w:rPr>
          <w:rFonts w:eastAsia="Calibri"/>
          <w:color w:val="auto"/>
          <w:kern w:val="0"/>
          <w:lang w:eastAsia="en-US"/>
          <w14:ligatures w14:val="none"/>
        </w:rPr>
        <w:t>Scopus</w:t>
      </w:r>
      <w:proofErr w:type="spellEnd"/>
      <w:r w:rsidRPr="009547F4">
        <w:rPr>
          <w:rFonts w:eastAsia="Calibri"/>
          <w:color w:val="auto"/>
          <w:kern w:val="0"/>
          <w:lang w:eastAsia="en-US"/>
          <w14:ligatures w14:val="none"/>
        </w:rPr>
        <w:t xml:space="preserve"> и (или) </w:t>
      </w:r>
      <w:proofErr w:type="spellStart"/>
      <w:r w:rsidRPr="009547F4">
        <w:rPr>
          <w:rFonts w:eastAsia="Calibri"/>
          <w:color w:val="auto"/>
          <w:kern w:val="0"/>
          <w:lang w:eastAsia="en-US"/>
          <w14:ligatures w14:val="none"/>
        </w:rPr>
        <w:t>Web</w:t>
      </w:r>
      <w:proofErr w:type="spellEnd"/>
      <w:r w:rsidRPr="009547F4">
        <w:rPr>
          <w:rFonts w:eastAsia="Calibri"/>
          <w:color w:val="auto"/>
          <w:kern w:val="0"/>
          <w:lang w:eastAsia="en-US"/>
          <w14:ligatures w14:val="none"/>
        </w:rPr>
        <w:t xml:space="preserve"> </w:t>
      </w:r>
      <w:proofErr w:type="spellStart"/>
      <w:r w:rsidRPr="009547F4">
        <w:rPr>
          <w:rFonts w:eastAsia="Calibri"/>
          <w:color w:val="auto"/>
          <w:kern w:val="0"/>
          <w:lang w:eastAsia="en-US"/>
          <w14:ligatures w14:val="none"/>
        </w:rPr>
        <w:t>of</w:t>
      </w:r>
      <w:proofErr w:type="spellEnd"/>
      <w:r w:rsidRPr="009547F4">
        <w:rPr>
          <w:rFonts w:eastAsia="Calibri"/>
          <w:color w:val="auto"/>
          <w:kern w:val="0"/>
          <w:lang w:eastAsia="en-US"/>
          <w14:ligatures w14:val="none"/>
        </w:rPr>
        <w:t xml:space="preserve"> </w:t>
      </w:r>
      <w:proofErr w:type="spellStart"/>
      <w:r w:rsidRPr="009547F4">
        <w:rPr>
          <w:rFonts w:eastAsia="Calibri"/>
          <w:color w:val="auto"/>
          <w:kern w:val="0"/>
          <w:lang w:eastAsia="en-US"/>
          <w14:ligatures w14:val="none"/>
        </w:rPr>
        <w:t>Science</w:t>
      </w:r>
      <w:proofErr w:type="spellEnd"/>
      <w:r w:rsidRPr="009547F4">
        <w:rPr>
          <w:rFonts w:eastAsia="Calibri"/>
          <w:color w:val="auto"/>
          <w:kern w:val="0"/>
          <w:lang w:eastAsia="en-US"/>
          <w14:ligatures w14:val="none"/>
        </w:rPr>
        <w:t xml:space="preserve"> (квартиль Q1- Q2) – 10 баллов;</w:t>
      </w:r>
    </w:p>
    <w:p w:rsidR="009547F4" w:rsidRPr="009547F4" w:rsidRDefault="009547F4" w:rsidP="009547F4">
      <w:pPr>
        <w:spacing w:after="0" w:line="300" w:lineRule="auto"/>
        <w:ind w:right="0" w:firstLine="567"/>
        <w:rPr>
          <w:rFonts w:eastAsia="Calibri"/>
          <w:color w:val="auto"/>
          <w:kern w:val="0"/>
          <w:lang w:eastAsia="en-US"/>
          <w14:ligatures w14:val="none"/>
        </w:rPr>
      </w:pPr>
      <w:r w:rsidRPr="009547F4">
        <w:rPr>
          <w:rFonts w:eastAsia="Calibri"/>
          <w:color w:val="auto"/>
          <w:kern w:val="0"/>
          <w:lang w:eastAsia="en-US"/>
          <w14:ligatures w14:val="none"/>
        </w:rPr>
        <w:tab/>
        <w:t xml:space="preserve">– научная статья, опубликованная в рецензируемом издании, индексируемом в международных базах данных </w:t>
      </w:r>
      <w:proofErr w:type="spellStart"/>
      <w:r w:rsidRPr="009547F4">
        <w:rPr>
          <w:rFonts w:eastAsia="Calibri"/>
          <w:color w:val="auto"/>
          <w:kern w:val="0"/>
          <w:lang w:eastAsia="en-US"/>
          <w14:ligatures w14:val="none"/>
        </w:rPr>
        <w:t>Scopus</w:t>
      </w:r>
      <w:proofErr w:type="spellEnd"/>
      <w:r w:rsidRPr="009547F4">
        <w:rPr>
          <w:rFonts w:eastAsia="Calibri"/>
          <w:color w:val="auto"/>
          <w:kern w:val="0"/>
          <w:lang w:eastAsia="en-US"/>
          <w14:ligatures w14:val="none"/>
        </w:rPr>
        <w:t xml:space="preserve"> и (или) </w:t>
      </w:r>
      <w:proofErr w:type="spellStart"/>
      <w:r w:rsidRPr="009547F4">
        <w:rPr>
          <w:rFonts w:eastAsia="Calibri"/>
          <w:color w:val="auto"/>
          <w:kern w:val="0"/>
          <w:lang w:eastAsia="en-US"/>
          <w14:ligatures w14:val="none"/>
        </w:rPr>
        <w:t>Web</w:t>
      </w:r>
      <w:proofErr w:type="spellEnd"/>
      <w:r w:rsidRPr="009547F4">
        <w:rPr>
          <w:rFonts w:eastAsia="Calibri"/>
          <w:color w:val="auto"/>
          <w:kern w:val="0"/>
          <w:lang w:eastAsia="en-US"/>
          <w14:ligatures w14:val="none"/>
        </w:rPr>
        <w:t xml:space="preserve"> </w:t>
      </w:r>
      <w:proofErr w:type="spellStart"/>
      <w:r w:rsidRPr="009547F4">
        <w:rPr>
          <w:rFonts w:eastAsia="Calibri"/>
          <w:color w:val="auto"/>
          <w:kern w:val="0"/>
          <w:lang w:eastAsia="en-US"/>
          <w14:ligatures w14:val="none"/>
        </w:rPr>
        <w:t>of</w:t>
      </w:r>
      <w:proofErr w:type="spellEnd"/>
      <w:r w:rsidRPr="009547F4">
        <w:rPr>
          <w:rFonts w:eastAsia="Calibri"/>
          <w:color w:val="auto"/>
          <w:kern w:val="0"/>
          <w:lang w:eastAsia="en-US"/>
          <w14:ligatures w14:val="none"/>
        </w:rPr>
        <w:t xml:space="preserve"> </w:t>
      </w:r>
      <w:proofErr w:type="spellStart"/>
      <w:r w:rsidRPr="009547F4">
        <w:rPr>
          <w:rFonts w:eastAsia="Calibri"/>
          <w:color w:val="auto"/>
          <w:kern w:val="0"/>
          <w:lang w:eastAsia="en-US"/>
          <w14:ligatures w14:val="none"/>
        </w:rPr>
        <w:t>Science</w:t>
      </w:r>
      <w:proofErr w:type="spellEnd"/>
      <w:r w:rsidRPr="009547F4">
        <w:rPr>
          <w:rFonts w:eastAsia="Calibri"/>
          <w:color w:val="auto"/>
          <w:kern w:val="0"/>
          <w:lang w:eastAsia="en-US"/>
          <w14:ligatures w14:val="none"/>
        </w:rPr>
        <w:t xml:space="preserve"> (квартиль Q3-Q4) – 5 баллов;</w:t>
      </w:r>
    </w:p>
    <w:p w:rsidR="009547F4" w:rsidRPr="009547F4" w:rsidRDefault="009547F4" w:rsidP="009547F4">
      <w:pPr>
        <w:spacing w:after="0" w:line="300" w:lineRule="auto"/>
        <w:ind w:right="0" w:firstLine="567"/>
        <w:rPr>
          <w:rFonts w:eastAsia="Calibri"/>
          <w:bCs/>
          <w:color w:val="auto"/>
          <w:kern w:val="0"/>
          <w:lang w:eastAsia="en-US"/>
          <w14:ligatures w14:val="none"/>
        </w:rPr>
      </w:pPr>
      <w:r w:rsidRPr="009547F4">
        <w:rPr>
          <w:rFonts w:eastAsia="Calibri"/>
          <w:color w:val="auto"/>
          <w:kern w:val="0"/>
          <w:lang w:eastAsia="en-US"/>
          <w14:ligatures w14:val="none"/>
        </w:rPr>
        <w:tab/>
        <w:t>– научная статья, опубликованная в рецензируемом издании, включенном в Перечень ВАК</w:t>
      </w:r>
      <w:r w:rsidRPr="009547F4">
        <w:rPr>
          <w:rFonts w:eastAsia="Calibri"/>
          <w:bCs/>
          <w:color w:val="auto"/>
          <w:kern w:val="0"/>
          <w:lang w:eastAsia="en-US"/>
          <w14:ligatures w14:val="none"/>
        </w:rPr>
        <w:t xml:space="preserve"> – 8 баллов;</w:t>
      </w:r>
    </w:p>
    <w:p w:rsidR="009547F4" w:rsidRPr="009547F4" w:rsidRDefault="009547F4" w:rsidP="009547F4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right="0" w:firstLine="567"/>
        <w:rPr>
          <w:rFonts w:eastAsia="Calibri"/>
          <w:bCs/>
          <w:color w:val="auto"/>
          <w:kern w:val="0"/>
          <w:lang w:eastAsia="en-US"/>
          <w14:ligatures w14:val="none"/>
        </w:rPr>
      </w:pPr>
      <w:r w:rsidRPr="009547F4">
        <w:rPr>
          <w:rFonts w:eastAsia="Calibri"/>
          <w:bCs/>
          <w:color w:val="auto"/>
          <w:kern w:val="0"/>
          <w:lang w:eastAsia="en-US"/>
          <w14:ligatures w14:val="none"/>
        </w:rPr>
        <w:tab/>
        <w:t>–</w:t>
      </w:r>
      <w:r w:rsidRPr="009547F4">
        <w:rPr>
          <w:rFonts w:eastAsia="Calibri"/>
          <w:bCs/>
          <w:color w:val="auto"/>
          <w:kern w:val="0"/>
          <w:lang w:eastAsia="en-US"/>
          <w14:ligatures w14:val="none"/>
        </w:rPr>
        <w:tab/>
        <w:t> научная статья, опубликованная в рецензируемом журнале, индексируемом в РИНЦ – 3 балла;</w:t>
      </w:r>
    </w:p>
    <w:p w:rsidR="009547F4" w:rsidRPr="009547F4" w:rsidRDefault="009547F4" w:rsidP="009547F4">
      <w:pPr>
        <w:spacing w:after="0" w:line="300" w:lineRule="auto"/>
        <w:ind w:right="0" w:firstLine="567"/>
        <w:rPr>
          <w:rFonts w:eastAsia="Calibri"/>
          <w:color w:val="auto"/>
          <w:kern w:val="0"/>
          <w:lang w:eastAsia="en-US"/>
          <w14:ligatures w14:val="none"/>
        </w:rPr>
      </w:pPr>
      <w:r w:rsidRPr="009547F4">
        <w:rPr>
          <w:rFonts w:eastAsia="Calibri"/>
          <w:color w:val="auto"/>
          <w:kern w:val="0"/>
          <w:lang w:eastAsia="en-US"/>
          <w14:ligatures w14:val="none"/>
        </w:rPr>
        <w:t>2. Тезисы в сборниках трудов конференций</w:t>
      </w:r>
    </w:p>
    <w:p w:rsidR="009547F4" w:rsidRPr="009547F4" w:rsidRDefault="009547F4" w:rsidP="009547F4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right="0" w:firstLine="567"/>
        <w:rPr>
          <w:rFonts w:eastAsia="Calibri"/>
          <w:bCs/>
          <w:color w:val="auto"/>
          <w:kern w:val="0"/>
          <w:lang w:eastAsia="en-US"/>
          <w14:ligatures w14:val="none"/>
        </w:rPr>
      </w:pPr>
      <w:r w:rsidRPr="009547F4">
        <w:rPr>
          <w:rFonts w:eastAsia="Calibri"/>
          <w:bCs/>
          <w:color w:val="auto"/>
          <w:kern w:val="0"/>
          <w:lang w:eastAsia="en-US"/>
          <w14:ligatures w14:val="none"/>
        </w:rPr>
        <w:tab/>
        <w:t xml:space="preserve">– тезисы докладов на конференциях, опубликованных в издании, индексируемом в международных базах данных </w:t>
      </w:r>
      <w:r w:rsidRPr="009547F4">
        <w:rPr>
          <w:rFonts w:eastAsia="Calibri"/>
          <w:bCs/>
          <w:color w:val="auto"/>
          <w:kern w:val="0"/>
          <w:lang w:val="en-US" w:eastAsia="en-US"/>
          <w14:ligatures w14:val="none"/>
        </w:rPr>
        <w:t>Scopus</w:t>
      </w:r>
      <w:r w:rsidRPr="009547F4">
        <w:rPr>
          <w:rFonts w:eastAsia="Calibri"/>
          <w:bCs/>
          <w:color w:val="auto"/>
          <w:kern w:val="0"/>
          <w:lang w:eastAsia="en-US"/>
          <w14:ligatures w14:val="none"/>
        </w:rPr>
        <w:t xml:space="preserve"> и (или) </w:t>
      </w:r>
      <w:r w:rsidRPr="009547F4">
        <w:rPr>
          <w:rFonts w:eastAsia="Calibri"/>
          <w:bCs/>
          <w:color w:val="auto"/>
          <w:kern w:val="0"/>
          <w:lang w:val="en-US" w:eastAsia="en-US"/>
          <w14:ligatures w14:val="none"/>
        </w:rPr>
        <w:t>Web</w:t>
      </w:r>
      <w:r w:rsidRPr="009547F4">
        <w:rPr>
          <w:rFonts w:eastAsia="Calibri"/>
          <w:bCs/>
          <w:color w:val="auto"/>
          <w:kern w:val="0"/>
          <w:lang w:eastAsia="en-US"/>
          <w14:ligatures w14:val="none"/>
        </w:rPr>
        <w:t xml:space="preserve"> </w:t>
      </w:r>
      <w:r w:rsidRPr="009547F4">
        <w:rPr>
          <w:rFonts w:eastAsia="Calibri"/>
          <w:bCs/>
          <w:color w:val="auto"/>
          <w:kern w:val="0"/>
          <w:lang w:val="en-US" w:eastAsia="en-US"/>
          <w14:ligatures w14:val="none"/>
        </w:rPr>
        <w:t>of</w:t>
      </w:r>
      <w:r w:rsidRPr="009547F4">
        <w:rPr>
          <w:rFonts w:eastAsia="Calibri"/>
          <w:bCs/>
          <w:color w:val="auto"/>
          <w:kern w:val="0"/>
          <w:lang w:eastAsia="en-US"/>
          <w14:ligatures w14:val="none"/>
        </w:rPr>
        <w:t xml:space="preserve"> </w:t>
      </w:r>
      <w:r w:rsidRPr="009547F4">
        <w:rPr>
          <w:rFonts w:eastAsia="Calibri"/>
          <w:bCs/>
          <w:color w:val="auto"/>
          <w:kern w:val="0"/>
          <w:lang w:val="en-US" w:eastAsia="en-US"/>
          <w14:ligatures w14:val="none"/>
        </w:rPr>
        <w:t>Science</w:t>
      </w:r>
      <w:r w:rsidRPr="009547F4">
        <w:rPr>
          <w:rFonts w:eastAsia="Calibri"/>
          <w:bCs/>
          <w:color w:val="auto"/>
          <w:kern w:val="0"/>
          <w:lang w:eastAsia="en-US"/>
          <w14:ligatures w14:val="none"/>
        </w:rPr>
        <w:t xml:space="preserve"> – 3 балла;</w:t>
      </w:r>
    </w:p>
    <w:p w:rsidR="009547F4" w:rsidRPr="009547F4" w:rsidRDefault="009547F4" w:rsidP="009547F4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right="0" w:firstLine="567"/>
        <w:rPr>
          <w:rFonts w:eastAsia="Calibri"/>
          <w:bCs/>
          <w:color w:val="auto"/>
          <w:kern w:val="0"/>
          <w:lang w:eastAsia="en-US"/>
          <w14:ligatures w14:val="none"/>
        </w:rPr>
      </w:pPr>
      <w:r w:rsidRPr="009547F4">
        <w:rPr>
          <w:rFonts w:eastAsia="Calibri"/>
          <w:bCs/>
          <w:color w:val="auto"/>
          <w:kern w:val="0"/>
          <w:lang w:eastAsia="en-US"/>
          <w14:ligatures w14:val="none"/>
        </w:rPr>
        <w:t xml:space="preserve">  –</w:t>
      </w:r>
      <w:r w:rsidRPr="009547F4">
        <w:rPr>
          <w:rFonts w:eastAsia="Calibri"/>
          <w:bCs/>
          <w:color w:val="auto"/>
          <w:kern w:val="0"/>
          <w:lang w:eastAsia="en-US"/>
          <w14:ligatures w14:val="none"/>
        </w:rPr>
        <w:tab/>
        <w:t> тезисы докладов на конференциях, опубликованных в издании, индексируемом в РИНЦ – 2 балла;</w:t>
      </w:r>
    </w:p>
    <w:p w:rsidR="009547F4" w:rsidRPr="009547F4" w:rsidRDefault="009547F4" w:rsidP="009547F4">
      <w:pPr>
        <w:spacing w:after="0" w:line="300" w:lineRule="auto"/>
        <w:ind w:right="0" w:firstLine="567"/>
        <w:rPr>
          <w:rFonts w:eastAsia="Calibri"/>
          <w:color w:val="auto"/>
          <w:kern w:val="0"/>
          <w:lang w:eastAsia="en-US"/>
          <w14:ligatures w14:val="none"/>
        </w:rPr>
      </w:pPr>
      <w:r w:rsidRPr="009547F4">
        <w:rPr>
          <w:rFonts w:eastAsia="Calibri"/>
          <w:color w:val="auto"/>
          <w:kern w:val="0"/>
          <w:lang w:eastAsia="en-US"/>
          <w14:ligatures w14:val="none"/>
        </w:rPr>
        <w:t>3. Патенты, свидетельства о регистрации программы ЭВМ</w:t>
      </w:r>
    </w:p>
    <w:p w:rsidR="009547F4" w:rsidRPr="009547F4" w:rsidRDefault="009547F4" w:rsidP="009547F4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right="0" w:firstLine="567"/>
        <w:rPr>
          <w:rFonts w:eastAsia="Calibri"/>
          <w:bCs/>
          <w:color w:val="auto"/>
          <w:kern w:val="0"/>
          <w:lang w:eastAsia="en-US"/>
          <w14:ligatures w14:val="none"/>
        </w:rPr>
      </w:pPr>
      <w:r w:rsidRPr="009547F4">
        <w:rPr>
          <w:rFonts w:eastAsia="Calibri"/>
          <w:bCs/>
          <w:color w:val="auto"/>
          <w:kern w:val="0"/>
          <w:lang w:eastAsia="en-US"/>
          <w14:ligatures w14:val="none"/>
        </w:rPr>
        <w:lastRenderedPageBreak/>
        <w:t xml:space="preserve">  – патент на изобретение – 4 балла;</w:t>
      </w:r>
    </w:p>
    <w:p w:rsidR="009547F4" w:rsidRPr="009547F4" w:rsidRDefault="009547F4" w:rsidP="009547F4">
      <w:pPr>
        <w:spacing w:after="0" w:line="300" w:lineRule="auto"/>
        <w:ind w:right="0" w:firstLine="567"/>
        <w:rPr>
          <w:rFonts w:eastAsia="Calibri"/>
          <w:bCs/>
          <w:color w:val="auto"/>
          <w:kern w:val="0"/>
          <w:lang w:eastAsia="en-US"/>
          <w14:ligatures w14:val="none"/>
        </w:rPr>
      </w:pPr>
      <w:r w:rsidRPr="009547F4">
        <w:rPr>
          <w:rFonts w:eastAsia="Calibri"/>
          <w:bCs/>
          <w:color w:val="auto"/>
          <w:kern w:val="0"/>
          <w:lang w:eastAsia="en-US"/>
          <w14:ligatures w14:val="none"/>
        </w:rPr>
        <w:t xml:space="preserve">  – патент на полезную модель, промышленный образец; свидетельство о регистрации программы ЭВМ – 2 балла. </w:t>
      </w:r>
    </w:p>
    <w:p w:rsidR="009547F4" w:rsidRPr="009547F4" w:rsidRDefault="009547F4" w:rsidP="009547F4">
      <w:pPr>
        <w:spacing w:after="0" w:line="300" w:lineRule="auto"/>
        <w:ind w:right="0" w:firstLine="567"/>
        <w:rPr>
          <w:rFonts w:eastAsia="Calibri"/>
          <w:bCs/>
          <w:color w:val="auto"/>
          <w:kern w:val="0"/>
          <w:lang w:eastAsia="en-US"/>
          <w14:ligatures w14:val="none"/>
        </w:rPr>
      </w:pPr>
      <w:r w:rsidRPr="009547F4">
        <w:rPr>
          <w:rFonts w:eastAsia="Calibri"/>
          <w:color w:val="auto"/>
          <w:kern w:val="0"/>
          <w:lang w:eastAsia="en-US"/>
          <w14:ligatures w14:val="none"/>
        </w:rPr>
        <w:t xml:space="preserve">Максимальное количество баллов за публикации ограничено 25 баллами. </w:t>
      </w:r>
      <w:r w:rsidRPr="009547F4">
        <w:rPr>
          <w:rFonts w:eastAsia="Calibri"/>
          <w:bCs/>
          <w:color w:val="auto"/>
          <w:kern w:val="0"/>
          <w:lang w:eastAsia="en-US"/>
          <w14:ligatures w14:val="none"/>
        </w:rPr>
        <w:t xml:space="preserve">Статьи, опубликованные в издании, индексируемом в международных базах данных </w:t>
      </w:r>
      <w:r w:rsidRPr="009547F4">
        <w:rPr>
          <w:rFonts w:eastAsia="Calibri"/>
          <w:bCs/>
          <w:color w:val="auto"/>
          <w:kern w:val="0"/>
          <w:lang w:val="en-US" w:eastAsia="en-US"/>
          <w14:ligatures w14:val="none"/>
        </w:rPr>
        <w:t>Scopus</w:t>
      </w:r>
      <w:r w:rsidRPr="009547F4">
        <w:rPr>
          <w:rFonts w:eastAsia="Calibri"/>
          <w:bCs/>
          <w:color w:val="auto"/>
          <w:kern w:val="0"/>
          <w:lang w:eastAsia="en-US"/>
          <w14:ligatures w14:val="none"/>
        </w:rPr>
        <w:t xml:space="preserve"> и (или) </w:t>
      </w:r>
      <w:r w:rsidRPr="009547F4">
        <w:rPr>
          <w:rFonts w:eastAsia="Calibri"/>
          <w:bCs/>
          <w:color w:val="auto"/>
          <w:kern w:val="0"/>
          <w:lang w:val="en-US" w:eastAsia="en-US"/>
          <w14:ligatures w14:val="none"/>
        </w:rPr>
        <w:t>Web</w:t>
      </w:r>
      <w:r w:rsidRPr="009547F4">
        <w:rPr>
          <w:rFonts w:eastAsia="Calibri"/>
          <w:bCs/>
          <w:color w:val="auto"/>
          <w:kern w:val="0"/>
          <w:lang w:eastAsia="en-US"/>
          <w14:ligatures w14:val="none"/>
        </w:rPr>
        <w:t xml:space="preserve"> </w:t>
      </w:r>
      <w:r w:rsidRPr="009547F4">
        <w:rPr>
          <w:rFonts w:eastAsia="Calibri"/>
          <w:bCs/>
          <w:color w:val="auto"/>
          <w:kern w:val="0"/>
          <w:lang w:val="en-US" w:eastAsia="en-US"/>
          <w14:ligatures w14:val="none"/>
        </w:rPr>
        <w:t>of</w:t>
      </w:r>
      <w:r w:rsidRPr="009547F4">
        <w:rPr>
          <w:rFonts w:eastAsia="Calibri"/>
          <w:bCs/>
          <w:color w:val="auto"/>
          <w:kern w:val="0"/>
          <w:lang w:eastAsia="en-US"/>
          <w14:ligatures w14:val="none"/>
        </w:rPr>
        <w:t xml:space="preserve"> </w:t>
      </w:r>
      <w:r w:rsidRPr="009547F4">
        <w:rPr>
          <w:rFonts w:eastAsia="Calibri"/>
          <w:bCs/>
          <w:color w:val="auto"/>
          <w:kern w:val="0"/>
          <w:lang w:val="en-US" w:eastAsia="en-US"/>
          <w14:ligatures w14:val="none"/>
        </w:rPr>
        <w:t>Science</w:t>
      </w:r>
      <w:r w:rsidRPr="009547F4">
        <w:rPr>
          <w:rFonts w:eastAsia="Calibri"/>
          <w:bCs/>
          <w:color w:val="auto"/>
          <w:kern w:val="0"/>
          <w:lang w:eastAsia="en-US"/>
          <w14:ligatures w14:val="none"/>
        </w:rPr>
        <w:t>, а также включенном в Перечень ВАК и/или РИНЦ, учитываются не более одного раза с начислением наибольшего из возможного количества баллов.</w:t>
      </w:r>
    </w:p>
    <w:p w:rsidR="009547F4" w:rsidRPr="009547F4" w:rsidRDefault="009547F4" w:rsidP="009547F4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right="0" w:firstLine="567"/>
        <w:rPr>
          <w:rFonts w:eastAsia="Calibri"/>
          <w:bCs/>
          <w:color w:val="auto"/>
          <w:kern w:val="0"/>
          <w:lang w:eastAsia="en-US"/>
          <w14:ligatures w14:val="none"/>
        </w:rPr>
      </w:pPr>
      <w:r w:rsidRPr="009547F4">
        <w:rPr>
          <w:rFonts w:eastAsia="Calibri"/>
          <w:bCs/>
          <w:color w:val="auto"/>
          <w:kern w:val="0"/>
          <w:lang w:eastAsia="en-US"/>
          <w14:ligatures w14:val="none"/>
        </w:rPr>
        <w:t>4. Рекомендация от потенциального научного руководителя. Балл за данное достижение равен 25.</w:t>
      </w:r>
    </w:p>
    <w:p w:rsidR="009547F4" w:rsidRPr="009547F4" w:rsidRDefault="009547F4" w:rsidP="009547F4">
      <w:pPr>
        <w:widowControl w:val="0"/>
        <w:autoSpaceDE w:val="0"/>
        <w:autoSpaceDN w:val="0"/>
        <w:adjustRightInd w:val="0"/>
        <w:spacing w:after="0" w:line="300" w:lineRule="auto"/>
        <w:ind w:right="0" w:firstLine="567"/>
        <w:rPr>
          <w:rFonts w:eastAsia="Calibri"/>
          <w:bCs/>
          <w:color w:val="auto"/>
          <w:kern w:val="0"/>
          <w:lang w:eastAsia="en-US"/>
          <w14:ligatures w14:val="none"/>
        </w:rPr>
      </w:pPr>
      <w:r w:rsidRPr="009547F4">
        <w:rPr>
          <w:rFonts w:eastAsia="Calibri"/>
          <w:bCs/>
          <w:color w:val="auto"/>
          <w:kern w:val="0"/>
          <w:lang w:eastAsia="en-US"/>
          <w14:ligatures w14:val="none"/>
        </w:rPr>
        <w:t>Добавление баллов за каждое индивидуальное достижение проводится только при предоставлении комиссии подтверждающих документов.</w:t>
      </w:r>
    </w:p>
    <w:p w:rsidR="009547F4" w:rsidRPr="009547F4" w:rsidRDefault="009547F4" w:rsidP="009547F4">
      <w:pPr>
        <w:widowControl w:val="0"/>
        <w:adjustRightInd w:val="0"/>
        <w:spacing w:after="0" w:line="300" w:lineRule="auto"/>
        <w:ind w:right="0" w:firstLine="567"/>
        <w:rPr>
          <w:rFonts w:eastAsia="Calibri"/>
          <w:bCs/>
          <w:color w:val="auto"/>
          <w:kern w:val="0"/>
          <w:lang w:eastAsia="en-US"/>
          <w14:ligatures w14:val="none"/>
        </w:rPr>
      </w:pPr>
      <w:r w:rsidRPr="009547F4">
        <w:rPr>
          <w:rFonts w:eastAsia="Calibri"/>
          <w:bCs/>
          <w:color w:val="auto"/>
          <w:kern w:val="0"/>
          <w:lang w:eastAsia="en-US"/>
          <w14:ligatures w14:val="none"/>
        </w:rPr>
        <w:t>Сведения об индивидуальных достижениях и подтверждающие их документы должны быть предоставлены комиссии во время проведения вступительного испытания по специальной дисциплине. Сведения, предоставленные позднее оговоренного срока, не учитываются.</w:t>
      </w:r>
    </w:p>
    <w:p w:rsidR="009547F4" w:rsidRPr="009547F4" w:rsidRDefault="009547F4" w:rsidP="009547F4">
      <w:pPr>
        <w:widowControl w:val="0"/>
        <w:spacing w:after="0" w:line="240" w:lineRule="auto"/>
        <w:ind w:right="261" w:firstLine="397"/>
        <w:rPr>
          <w:rFonts w:eastAsia="Calibri"/>
          <w:bCs/>
          <w:spacing w:val="3"/>
          <w:kern w:val="0"/>
          <w:lang w:eastAsia="en-US"/>
          <w14:ligatures w14:val="none"/>
        </w:rPr>
      </w:pPr>
      <w:r w:rsidRPr="009547F4">
        <w:rPr>
          <w:rFonts w:eastAsia="Calibri"/>
          <w:bCs/>
          <w:spacing w:val="3"/>
          <w:kern w:val="0"/>
          <w:lang w:eastAsia="en-US"/>
          <w14:ligatures w14:val="none"/>
        </w:rPr>
        <w:t>Баллы за индивидуальные достижения засчитываются при условии их соответствия научной специальности программы аспирантуры на которую поступает абитуриент.</w:t>
      </w:r>
    </w:p>
    <w:p w:rsidR="009547F4" w:rsidRPr="009547F4" w:rsidRDefault="009547F4" w:rsidP="009547F4">
      <w:pPr>
        <w:widowControl w:val="0"/>
        <w:spacing w:after="0" w:line="240" w:lineRule="auto"/>
        <w:ind w:right="261" w:firstLine="397"/>
        <w:rPr>
          <w:rFonts w:eastAsia="Calibri"/>
          <w:color w:val="auto"/>
          <w:spacing w:val="3"/>
          <w:kern w:val="0"/>
          <w:shd w:val="clear" w:color="auto" w:fill="FFFFFF"/>
          <w:lang w:eastAsia="en-US"/>
          <w14:ligatures w14:val="none"/>
        </w:rPr>
      </w:pPr>
      <w:r w:rsidRPr="009547F4">
        <w:rPr>
          <w:rFonts w:eastAsia="Calibri"/>
          <w:bCs/>
          <w:spacing w:val="3"/>
          <w:kern w:val="0"/>
          <w:lang w:eastAsia="en-US"/>
          <w14:ligatures w14:val="none"/>
        </w:rPr>
        <w:t>Общий балл за индивидуальные достижения (публикации и реком</w:t>
      </w:r>
      <w:r w:rsidR="00F63EFC">
        <w:rPr>
          <w:rFonts w:eastAsia="Calibri"/>
          <w:bCs/>
          <w:spacing w:val="3"/>
          <w:kern w:val="0"/>
          <w:lang w:eastAsia="en-US"/>
          <w14:ligatures w14:val="none"/>
        </w:rPr>
        <w:t>ендацию научного руководителя) не может превышать</w:t>
      </w:r>
      <w:r w:rsidRPr="009547F4">
        <w:rPr>
          <w:rFonts w:eastAsia="Calibri"/>
          <w:bCs/>
          <w:spacing w:val="3"/>
          <w:kern w:val="0"/>
          <w:lang w:eastAsia="en-US"/>
          <w14:ligatures w14:val="none"/>
        </w:rPr>
        <w:t xml:space="preserve"> 50 баллов.</w:t>
      </w:r>
    </w:p>
    <w:p w:rsidR="00DB68BD" w:rsidRPr="009547F4" w:rsidRDefault="00DB68BD" w:rsidP="00DB68BD">
      <w:pPr>
        <w:pStyle w:val="a3"/>
        <w:tabs>
          <w:tab w:val="left" w:pos="993"/>
        </w:tabs>
        <w:spacing w:after="120"/>
        <w:ind w:left="0" w:right="91" w:firstLine="567"/>
        <w:rPr>
          <w:sz w:val="32"/>
          <w:szCs w:val="28"/>
        </w:rPr>
      </w:pPr>
    </w:p>
    <w:p w:rsidR="00343E21" w:rsidRPr="00DB68BD" w:rsidRDefault="00343E21" w:rsidP="00DB68BD">
      <w:bookmarkStart w:id="1" w:name="_GoBack"/>
      <w:bookmarkEnd w:id="1"/>
    </w:p>
    <w:sectPr w:rsidR="00343E21" w:rsidRPr="00DB6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135AC"/>
    <w:multiLevelType w:val="hybridMultilevel"/>
    <w:tmpl w:val="C652C730"/>
    <w:lvl w:ilvl="0" w:tplc="9EDE4E36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8BD"/>
    <w:rsid w:val="00343E21"/>
    <w:rsid w:val="009547F4"/>
    <w:rsid w:val="00DB68BD"/>
    <w:rsid w:val="00F6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062C4"/>
  <w15:chartTrackingRefBased/>
  <w15:docId w15:val="{4E6BA4DC-25B3-47FC-903B-A9B6D39D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8BD"/>
    <w:pPr>
      <w:spacing w:after="5" w:line="247" w:lineRule="auto"/>
      <w:ind w:right="336" w:firstLine="552"/>
      <w:jc w:val="both"/>
    </w:pPr>
    <w:rPr>
      <w:rFonts w:ascii="Times New Roman" w:eastAsia="Times New Roman" w:hAnsi="Times New Roman" w:cs="Times New Roman"/>
      <w:color w:val="000000"/>
      <w:kern w:val="2"/>
      <w:sz w:val="28"/>
      <w:szCs w:val="24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kuzmenkoev</dc:creator>
  <cp:keywords/>
  <dc:description/>
  <cp:lastModifiedBy>Пользователь Windows</cp:lastModifiedBy>
  <cp:revision>4</cp:revision>
  <dcterms:created xsi:type="dcterms:W3CDTF">2025-06-03T10:09:00Z</dcterms:created>
  <dcterms:modified xsi:type="dcterms:W3CDTF">2025-07-18T06:49:00Z</dcterms:modified>
</cp:coreProperties>
</file>