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48" w:type="dxa"/>
        <w:tblLook w:val="01E0"/>
      </w:tblPr>
      <w:tblGrid>
        <w:gridCol w:w="2988"/>
        <w:gridCol w:w="6660"/>
      </w:tblGrid>
      <w:tr w:rsidR="0008517F" w:rsidRPr="009F1AD2" w:rsidTr="00864B6E">
        <w:tc>
          <w:tcPr>
            <w:tcW w:w="2988" w:type="dxa"/>
          </w:tcPr>
          <w:p w:rsidR="0008517F" w:rsidRPr="009F1AD2" w:rsidRDefault="0008517F" w:rsidP="00864B6E">
            <w:r w:rsidRPr="009F1AD2">
              <w:t>Название программы</w:t>
            </w:r>
          </w:p>
        </w:tc>
        <w:tc>
          <w:tcPr>
            <w:tcW w:w="6660" w:type="dxa"/>
          </w:tcPr>
          <w:p w:rsidR="0008517F" w:rsidRPr="009F1AD2" w:rsidRDefault="0008517F" w:rsidP="00864B6E">
            <w:r>
              <w:t>С</w:t>
            </w:r>
            <w:r w:rsidRPr="00EC0465">
              <w:t>пециальн</w:t>
            </w:r>
            <w:r>
              <w:t>ая</w:t>
            </w:r>
            <w:r w:rsidRPr="00EC0465">
              <w:t xml:space="preserve"> оценк</w:t>
            </w:r>
            <w:r>
              <w:t>а</w:t>
            </w:r>
            <w:r w:rsidRPr="00EC0465">
              <w:t xml:space="preserve"> условий труда</w:t>
            </w:r>
          </w:p>
        </w:tc>
      </w:tr>
      <w:tr w:rsidR="0008517F" w:rsidRPr="009F1AD2" w:rsidTr="00864B6E">
        <w:tc>
          <w:tcPr>
            <w:tcW w:w="2988" w:type="dxa"/>
          </w:tcPr>
          <w:p w:rsidR="0008517F" w:rsidRPr="009F1AD2" w:rsidRDefault="0008517F" w:rsidP="00864B6E">
            <w:r w:rsidRPr="009F1AD2">
              <w:t>Вид программы</w:t>
            </w:r>
          </w:p>
        </w:tc>
        <w:tc>
          <w:tcPr>
            <w:tcW w:w="6660" w:type="dxa"/>
          </w:tcPr>
          <w:p w:rsidR="0008517F" w:rsidRPr="009F1AD2" w:rsidRDefault="0008517F" w:rsidP="00864B6E">
            <w:r w:rsidRPr="009F1AD2">
              <w:t>Повышение квалификации</w:t>
            </w:r>
          </w:p>
        </w:tc>
      </w:tr>
      <w:tr w:rsidR="0008517F" w:rsidRPr="009F1AD2" w:rsidTr="00864B6E">
        <w:tc>
          <w:tcPr>
            <w:tcW w:w="2988" w:type="dxa"/>
          </w:tcPr>
          <w:p w:rsidR="0008517F" w:rsidRPr="009F1AD2" w:rsidRDefault="0008517F" w:rsidP="00864B6E">
            <w:r w:rsidRPr="009F1AD2">
              <w:t>Объем программы, час</w:t>
            </w:r>
          </w:p>
        </w:tc>
        <w:tc>
          <w:tcPr>
            <w:tcW w:w="6660" w:type="dxa"/>
          </w:tcPr>
          <w:p w:rsidR="0008517F" w:rsidRPr="009F1AD2" w:rsidRDefault="0008517F" w:rsidP="00864B6E">
            <w:r w:rsidRPr="009F1AD2">
              <w:t>72</w:t>
            </w:r>
          </w:p>
        </w:tc>
      </w:tr>
      <w:tr w:rsidR="0008517F" w:rsidRPr="009F1AD2" w:rsidTr="00864B6E">
        <w:tc>
          <w:tcPr>
            <w:tcW w:w="2988" w:type="dxa"/>
          </w:tcPr>
          <w:p w:rsidR="0008517F" w:rsidRPr="009F1AD2" w:rsidRDefault="0008517F" w:rsidP="00864B6E">
            <w:r w:rsidRPr="009F1AD2">
              <w:t xml:space="preserve">Форма реализации программы </w:t>
            </w:r>
          </w:p>
        </w:tc>
        <w:tc>
          <w:tcPr>
            <w:tcW w:w="6660" w:type="dxa"/>
          </w:tcPr>
          <w:p w:rsidR="0008517F" w:rsidRPr="009F1AD2" w:rsidRDefault="0008517F" w:rsidP="00864B6E">
            <w:proofErr w:type="spellStart"/>
            <w:r w:rsidRPr="009F1AD2">
              <w:t>Очно</w:t>
            </w:r>
            <w:proofErr w:type="spellEnd"/>
          </w:p>
        </w:tc>
      </w:tr>
      <w:tr w:rsidR="0008517F" w:rsidRPr="009F1AD2" w:rsidTr="00864B6E">
        <w:tc>
          <w:tcPr>
            <w:tcW w:w="2988" w:type="dxa"/>
          </w:tcPr>
          <w:p w:rsidR="0008517F" w:rsidRPr="009F1AD2" w:rsidRDefault="0008517F" w:rsidP="00864B6E">
            <w:r w:rsidRPr="009F1AD2">
              <w:t xml:space="preserve">Категория слушателей </w:t>
            </w:r>
          </w:p>
        </w:tc>
        <w:tc>
          <w:tcPr>
            <w:tcW w:w="6660" w:type="dxa"/>
          </w:tcPr>
          <w:p w:rsidR="0008517F" w:rsidRPr="009F1AD2" w:rsidRDefault="0008517F" w:rsidP="00864B6E">
            <w:r w:rsidRPr="009F1AD2">
              <w:t>руководители и специалисты организаций</w:t>
            </w:r>
          </w:p>
        </w:tc>
      </w:tr>
      <w:tr w:rsidR="0008517F" w:rsidRPr="009F1AD2" w:rsidTr="00864B6E">
        <w:tc>
          <w:tcPr>
            <w:tcW w:w="2988" w:type="dxa"/>
          </w:tcPr>
          <w:p w:rsidR="0008517F" w:rsidRPr="009F1AD2" w:rsidRDefault="0008517F" w:rsidP="00864B6E">
            <w:r w:rsidRPr="009F1AD2">
              <w:t>Компетенции, на развитие к</w:t>
            </w:r>
            <w:r w:rsidRPr="009F1AD2">
              <w:t>о</w:t>
            </w:r>
            <w:r w:rsidRPr="009F1AD2">
              <w:t>торых направлена программа</w:t>
            </w:r>
          </w:p>
        </w:tc>
        <w:tc>
          <w:tcPr>
            <w:tcW w:w="6660" w:type="dxa"/>
          </w:tcPr>
          <w:p w:rsidR="0008517F" w:rsidRDefault="0008517F" w:rsidP="00864B6E">
            <w:r>
              <w:t xml:space="preserve">– способность </w:t>
            </w:r>
            <w:r w:rsidRPr="00C12F34">
              <w:t>ориентироваться</w:t>
            </w:r>
            <w:r w:rsidRPr="00274BFA">
              <w:t xml:space="preserve"> </w:t>
            </w:r>
            <w:r>
              <w:t xml:space="preserve">в </w:t>
            </w:r>
            <w:r w:rsidRPr="00EC0465">
              <w:t>законодательных и иных нормативных правовых акт</w:t>
            </w:r>
            <w:r>
              <w:t>ах</w:t>
            </w:r>
            <w:r w:rsidRPr="00EC0465">
              <w:t xml:space="preserve"> в области специальной оценки условий труда</w:t>
            </w:r>
            <w:r>
              <w:t>;</w:t>
            </w:r>
          </w:p>
          <w:p w:rsidR="0008517F" w:rsidRDefault="0008517F" w:rsidP="00864B6E">
            <w:r>
              <w:t xml:space="preserve">– </w:t>
            </w:r>
            <w:r w:rsidRPr="00EC0465">
              <w:t xml:space="preserve">овладение методами проведения </w:t>
            </w:r>
            <w:r>
              <w:t>оценки</w:t>
            </w:r>
            <w:r w:rsidRPr="00EC0465">
              <w:t xml:space="preserve"> условий труда; </w:t>
            </w:r>
          </w:p>
          <w:p w:rsidR="0008517F" w:rsidRPr="009F1AD2" w:rsidRDefault="0008517F" w:rsidP="00864B6E">
            <w:pPr>
              <w:ind w:left="-108"/>
              <w:jc w:val="both"/>
            </w:pPr>
            <w:r>
              <w:t xml:space="preserve">– </w:t>
            </w:r>
            <w:r w:rsidRPr="00EC0465">
              <w:t xml:space="preserve">формирование навыков проведения </w:t>
            </w:r>
            <w:r>
              <w:t>и оформления результ</w:t>
            </w:r>
            <w:r>
              <w:t>а</w:t>
            </w:r>
            <w:r>
              <w:t xml:space="preserve">тов </w:t>
            </w:r>
            <w:r w:rsidRPr="00EC0465">
              <w:t>специальной оценки условий труда</w:t>
            </w:r>
            <w:r>
              <w:t>.</w:t>
            </w:r>
          </w:p>
        </w:tc>
      </w:tr>
      <w:tr w:rsidR="0008517F" w:rsidRPr="009F1AD2" w:rsidTr="00864B6E">
        <w:tc>
          <w:tcPr>
            <w:tcW w:w="2988" w:type="dxa"/>
          </w:tcPr>
          <w:p w:rsidR="0008517F" w:rsidRPr="009F1AD2" w:rsidRDefault="0008517F" w:rsidP="00864B6E">
            <w:r w:rsidRPr="009F1AD2">
              <w:t>Учебный план программы</w:t>
            </w:r>
          </w:p>
        </w:tc>
        <w:tc>
          <w:tcPr>
            <w:tcW w:w="6660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39"/>
              <w:gridCol w:w="3117"/>
              <w:gridCol w:w="831"/>
              <w:gridCol w:w="1069"/>
              <w:gridCol w:w="978"/>
            </w:tblGrid>
            <w:tr w:rsidR="0008517F" w:rsidRPr="003E4C63" w:rsidTr="00864B6E">
              <w:trPr>
                <w:cantSplit/>
                <w:trHeight w:val="383"/>
              </w:trPr>
              <w:tc>
                <w:tcPr>
                  <w:tcW w:w="341" w:type="pct"/>
                  <w:vMerge w:val="restart"/>
                </w:tcPr>
                <w:p w:rsidR="0008517F" w:rsidRPr="00323560" w:rsidRDefault="0008517F" w:rsidP="00864B6E">
                  <w:pPr>
                    <w:ind w:left="-108" w:right="-135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№</w:t>
                  </w:r>
                </w:p>
                <w:p w:rsidR="0008517F" w:rsidRPr="00323560" w:rsidRDefault="0008517F" w:rsidP="00864B6E">
                  <w:pPr>
                    <w:ind w:left="-108" w:right="-135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323560">
                    <w:rPr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323560">
                    <w:rPr>
                      <w:sz w:val="18"/>
                      <w:szCs w:val="18"/>
                    </w:rPr>
                    <w:t>/</w:t>
                  </w:r>
                  <w:proofErr w:type="spellStart"/>
                  <w:r w:rsidRPr="00323560">
                    <w:rPr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2422" w:type="pct"/>
                  <w:vMerge w:val="restart"/>
                </w:tcPr>
                <w:p w:rsidR="0008517F" w:rsidRPr="00323560" w:rsidRDefault="0008517F" w:rsidP="00864B6E">
                  <w:pPr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Наименование</w:t>
                  </w:r>
                </w:p>
                <w:p w:rsidR="0008517F" w:rsidRPr="00323560" w:rsidRDefault="0008517F" w:rsidP="00864B6E">
                  <w:pPr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разделов</w:t>
                  </w:r>
                </w:p>
              </w:tc>
              <w:tc>
                <w:tcPr>
                  <w:tcW w:w="646" w:type="pct"/>
                  <w:vMerge w:val="restart"/>
                </w:tcPr>
                <w:p w:rsidR="0008517F" w:rsidRPr="00323560" w:rsidRDefault="0008517F" w:rsidP="00864B6E">
                  <w:pPr>
                    <w:ind w:left="-137" w:right="-30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Всего,</w:t>
                  </w:r>
                </w:p>
                <w:p w:rsidR="0008517F" w:rsidRPr="00323560" w:rsidRDefault="0008517F" w:rsidP="00864B6E">
                  <w:pPr>
                    <w:ind w:left="-108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час.</w:t>
                  </w:r>
                </w:p>
              </w:tc>
              <w:tc>
                <w:tcPr>
                  <w:tcW w:w="1591" w:type="pct"/>
                  <w:gridSpan w:val="2"/>
                </w:tcPr>
                <w:p w:rsidR="0008517F" w:rsidRPr="00323560" w:rsidRDefault="0008517F" w:rsidP="00864B6E">
                  <w:pPr>
                    <w:ind w:left="-108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В том числе</w:t>
                  </w:r>
                </w:p>
              </w:tc>
            </w:tr>
            <w:tr w:rsidR="0008517F" w:rsidRPr="003E4C63" w:rsidTr="00864B6E">
              <w:trPr>
                <w:cantSplit/>
              </w:trPr>
              <w:tc>
                <w:tcPr>
                  <w:tcW w:w="0" w:type="auto"/>
                  <w:vMerge/>
                  <w:vAlign w:val="center"/>
                </w:tcPr>
                <w:p w:rsidR="0008517F" w:rsidRPr="00323560" w:rsidRDefault="0008517F" w:rsidP="00864B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22" w:type="pct"/>
                  <w:vMerge/>
                  <w:vAlign w:val="center"/>
                </w:tcPr>
                <w:p w:rsidR="0008517F" w:rsidRPr="00323560" w:rsidRDefault="0008517F" w:rsidP="00864B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08517F" w:rsidRPr="00323560" w:rsidRDefault="0008517F" w:rsidP="00864B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1" w:type="pct"/>
                </w:tcPr>
                <w:p w:rsidR="0008517F" w:rsidRPr="00323560" w:rsidRDefault="0008517F" w:rsidP="00864B6E">
                  <w:pPr>
                    <w:ind w:left="-45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лекции</w:t>
                  </w:r>
                </w:p>
              </w:tc>
              <w:tc>
                <w:tcPr>
                  <w:tcW w:w="760" w:type="pct"/>
                </w:tcPr>
                <w:p w:rsidR="0008517F" w:rsidRPr="00323560" w:rsidRDefault="0008517F" w:rsidP="00864B6E">
                  <w:pPr>
                    <w:ind w:left="-45" w:right="-126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323560">
                    <w:rPr>
                      <w:sz w:val="18"/>
                      <w:szCs w:val="18"/>
                    </w:rPr>
                    <w:t>практич</w:t>
                  </w:r>
                  <w:proofErr w:type="spellEnd"/>
                  <w:r w:rsidRPr="00323560">
                    <w:rPr>
                      <w:sz w:val="18"/>
                      <w:szCs w:val="18"/>
                    </w:rPr>
                    <w:t xml:space="preserve">. </w:t>
                  </w:r>
                </w:p>
                <w:p w:rsidR="0008517F" w:rsidRPr="00323560" w:rsidRDefault="0008517F" w:rsidP="00864B6E">
                  <w:pPr>
                    <w:ind w:left="-45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занятия</w:t>
                  </w:r>
                </w:p>
              </w:tc>
            </w:tr>
            <w:tr w:rsidR="0008517F" w:rsidRPr="003E4C63" w:rsidTr="00864B6E">
              <w:trPr>
                <w:cantSplit/>
                <w:trHeight w:val="270"/>
              </w:trPr>
              <w:tc>
                <w:tcPr>
                  <w:tcW w:w="341" w:type="pct"/>
                </w:tcPr>
                <w:p w:rsidR="0008517F" w:rsidRPr="00323560" w:rsidRDefault="0008517F" w:rsidP="00864B6E">
                  <w:pPr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2" w:type="pct"/>
                </w:tcPr>
                <w:p w:rsidR="0008517F" w:rsidRPr="00323560" w:rsidRDefault="0008517F" w:rsidP="00864B6E">
                  <w:pPr>
                    <w:shd w:val="clear" w:color="auto" w:fill="FFFFFF"/>
                    <w:ind w:left="-112" w:firstLine="28"/>
                    <w:rPr>
                      <w:sz w:val="18"/>
                      <w:szCs w:val="18"/>
                    </w:rPr>
                  </w:pPr>
                  <w:r w:rsidRPr="00323560">
                    <w:rPr>
                      <w:bCs/>
                      <w:sz w:val="18"/>
                      <w:szCs w:val="18"/>
                    </w:rPr>
                    <w:t>Правовые и организационные основы и порядок пров</w:t>
                  </w:r>
                  <w:r w:rsidRPr="00323560">
                    <w:rPr>
                      <w:bCs/>
                      <w:sz w:val="18"/>
                      <w:szCs w:val="18"/>
                    </w:rPr>
                    <w:t>е</w:t>
                  </w:r>
                  <w:r w:rsidRPr="00323560">
                    <w:rPr>
                      <w:bCs/>
                      <w:sz w:val="18"/>
                      <w:szCs w:val="18"/>
                    </w:rPr>
                    <w:t>дения специальной оценки условий труда. Правовое п</w:t>
                  </w:r>
                  <w:r w:rsidRPr="00323560">
                    <w:rPr>
                      <w:bCs/>
                      <w:sz w:val="18"/>
                      <w:szCs w:val="18"/>
                    </w:rPr>
                    <w:t>о</w:t>
                  </w:r>
                  <w:r w:rsidRPr="00323560">
                    <w:rPr>
                      <w:bCs/>
                      <w:sz w:val="18"/>
                      <w:szCs w:val="18"/>
                    </w:rPr>
                    <w:t>ложение, права, обязанности и ответственность участников спец</w:t>
                  </w:r>
                  <w:r w:rsidRPr="00323560">
                    <w:rPr>
                      <w:bCs/>
                      <w:sz w:val="18"/>
                      <w:szCs w:val="18"/>
                    </w:rPr>
                    <w:t>и</w:t>
                  </w:r>
                  <w:r w:rsidRPr="00323560">
                    <w:rPr>
                      <w:bCs/>
                      <w:sz w:val="18"/>
                      <w:szCs w:val="18"/>
                    </w:rPr>
                    <w:t>альной оценки условий труда</w:t>
                  </w:r>
                </w:p>
              </w:tc>
              <w:tc>
                <w:tcPr>
                  <w:tcW w:w="646" w:type="pct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831" w:type="pct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60" w:type="pct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–</w:t>
                  </w:r>
                </w:p>
              </w:tc>
            </w:tr>
            <w:tr w:rsidR="0008517F" w:rsidRPr="00513E4C" w:rsidTr="00864B6E">
              <w:trPr>
                <w:cantSplit/>
                <w:trHeight w:val="270"/>
              </w:trPr>
              <w:tc>
                <w:tcPr>
                  <w:tcW w:w="341" w:type="pct"/>
                </w:tcPr>
                <w:p w:rsidR="0008517F" w:rsidRPr="00323560" w:rsidRDefault="0008517F" w:rsidP="00864B6E">
                  <w:pPr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22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 w:rsidRPr="00323560">
                    <w:rPr>
                      <w:color w:val="000000"/>
                      <w:sz w:val="18"/>
                      <w:szCs w:val="18"/>
                    </w:rPr>
                    <w:t>Подготовка к проведению специальной оценки у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с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ловий труда</w:t>
                  </w:r>
                </w:p>
              </w:tc>
              <w:tc>
                <w:tcPr>
                  <w:tcW w:w="646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31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0" w:type="pct"/>
                  <w:vAlign w:val="center"/>
                </w:tcPr>
                <w:p w:rsidR="0008517F" w:rsidRPr="00323560" w:rsidRDefault="0008517F" w:rsidP="00864B6E">
                  <w:pPr>
                    <w:ind w:left="-68" w:right="-12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23560">
                    <w:rPr>
                      <w:color w:val="000000"/>
                      <w:sz w:val="18"/>
                      <w:szCs w:val="18"/>
                    </w:rPr>
                    <w:t>−</w:t>
                  </w:r>
                </w:p>
              </w:tc>
            </w:tr>
            <w:tr w:rsidR="0008517F" w:rsidRPr="00513E4C" w:rsidTr="00864B6E">
              <w:trPr>
                <w:cantSplit/>
                <w:trHeight w:val="270"/>
              </w:trPr>
              <w:tc>
                <w:tcPr>
                  <w:tcW w:w="341" w:type="pct"/>
                </w:tcPr>
                <w:p w:rsidR="0008517F" w:rsidRPr="00323560" w:rsidRDefault="0008517F" w:rsidP="00864B6E">
                  <w:pPr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22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 w:rsidRPr="00323560">
                    <w:rPr>
                      <w:color w:val="000000"/>
                      <w:sz w:val="18"/>
                      <w:szCs w:val="18"/>
                    </w:rPr>
                    <w:t>Идентификация потенциально вре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д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ных и (или) опасных производстве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н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ных факторов</w:t>
                  </w:r>
                </w:p>
              </w:tc>
              <w:tc>
                <w:tcPr>
                  <w:tcW w:w="646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31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0" w:type="pct"/>
                  <w:vAlign w:val="center"/>
                </w:tcPr>
                <w:p w:rsidR="0008517F" w:rsidRPr="00323560" w:rsidRDefault="0008517F" w:rsidP="00864B6E">
                  <w:pPr>
                    <w:ind w:left="-68" w:right="-12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23560">
                    <w:rPr>
                      <w:color w:val="000000"/>
                      <w:sz w:val="18"/>
                      <w:szCs w:val="18"/>
                    </w:rPr>
                    <w:t>−</w:t>
                  </w:r>
                </w:p>
              </w:tc>
            </w:tr>
            <w:tr w:rsidR="0008517F" w:rsidRPr="00513E4C" w:rsidTr="00864B6E">
              <w:trPr>
                <w:cantSplit/>
                <w:trHeight w:val="270"/>
              </w:trPr>
              <w:tc>
                <w:tcPr>
                  <w:tcW w:w="341" w:type="pct"/>
                </w:tcPr>
                <w:p w:rsidR="0008517F" w:rsidRPr="00323560" w:rsidRDefault="0008517F" w:rsidP="00864B6E">
                  <w:pPr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22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right="62"/>
                    <w:rPr>
                      <w:color w:val="000000"/>
                      <w:sz w:val="18"/>
                      <w:szCs w:val="18"/>
                    </w:rPr>
                  </w:pPr>
                  <w:r w:rsidRPr="00323560">
                    <w:rPr>
                      <w:color w:val="000000"/>
                      <w:sz w:val="18"/>
                      <w:szCs w:val="18"/>
                    </w:rPr>
                    <w:t>Декларирование соответствия усл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о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вий труда государственным норм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а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тивным требованиям охраны труда</w:t>
                  </w:r>
                </w:p>
              </w:tc>
              <w:tc>
                <w:tcPr>
                  <w:tcW w:w="646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31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0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23560">
                    <w:rPr>
                      <w:color w:val="000000"/>
                      <w:sz w:val="18"/>
                      <w:szCs w:val="18"/>
                    </w:rPr>
                    <w:t>−</w:t>
                  </w:r>
                </w:p>
              </w:tc>
            </w:tr>
            <w:tr w:rsidR="0008517F" w:rsidRPr="003E4C63" w:rsidTr="00864B6E">
              <w:trPr>
                <w:cantSplit/>
                <w:trHeight w:val="270"/>
              </w:trPr>
              <w:tc>
                <w:tcPr>
                  <w:tcW w:w="341" w:type="pct"/>
                </w:tcPr>
                <w:p w:rsidR="0008517F" w:rsidRPr="00323560" w:rsidRDefault="0008517F" w:rsidP="00864B6E">
                  <w:pPr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22" w:type="pct"/>
                </w:tcPr>
                <w:p w:rsidR="0008517F" w:rsidRPr="00323560" w:rsidRDefault="0008517F" w:rsidP="00864B6E">
                  <w:pPr>
                    <w:shd w:val="clear" w:color="auto" w:fill="FFFFFF"/>
                    <w:ind w:left="-112" w:firstLine="28"/>
                    <w:rPr>
                      <w:spacing w:val="-1"/>
                      <w:sz w:val="18"/>
                      <w:szCs w:val="18"/>
                    </w:rPr>
                  </w:pPr>
                  <w:r w:rsidRPr="00323560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Исследования (испытания) и измер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е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ния вредных и (или) опасных производственных факт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о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ров</w:t>
                  </w:r>
                </w:p>
              </w:tc>
              <w:tc>
                <w:tcPr>
                  <w:tcW w:w="646" w:type="pct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831" w:type="pct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60" w:type="pct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08517F" w:rsidRPr="00513E4C" w:rsidTr="00864B6E">
              <w:trPr>
                <w:cantSplit/>
                <w:trHeight w:val="270"/>
              </w:trPr>
              <w:tc>
                <w:tcPr>
                  <w:tcW w:w="341" w:type="pct"/>
                </w:tcPr>
                <w:p w:rsidR="0008517F" w:rsidRPr="00323560" w:rsidRDefault="0008517F" w:rsidP="00864B6E">
                  <w:pPr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22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23560">
                    <w:rPr>
                      <w:bCs/>
                      <w:color w:val="000000"/>
                      <w:sz w:val="18"/>
                      <w:szCs w:val="18"/>
                    </w:rPr>
                    <w:t>Классификация условий труда</w:t>
                  </w:r>
                </w:p>
              </w:tc>
              <w:tc>
                <w:tcPr>
                  <w:tcW w:w="646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23560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31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23560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0" w:type="pct"/>
                  <w:vAlign w:val="center"/>
                </w:tcPr>
                <w:p w:rsidR="0008517F" w:rsidRPr="00323560" w:rsidRDefault="0008517F" w:rsidP="00864B6E">
                  <w:pPr>
                    <w:ind w:left="-68" w:right="-126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23560">
                    <w:rPr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08517F" w:rsidRPr="00513E4C" w:rsidTr="00864B6E">
              <w:trPr>
                <w:cantSplit/>
                <w:trHeight w:val="270"/>
              </w:trPr>
              <w:tc>
                <w:tcPr>
                  <w:tcW w:w="341" w:type="pct"/>
                </w:tcPr>
                <w:p w:rsidR="0008517F" w:rsidRPr="00323560" w:rsidRDefault="0008517F" w:rsidP="00864B6E">
                  <w:pPr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22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19"/>
                    <w:rPr>
                      <w:color w:val="000000"/>
                      <w:sz w:val="18"/>
                      <w:szCs w:val="18"/>
                    </w:rPr>
                  </w:pPr>
                  <w:r w:rsidRPr="00323560">
                    <w:rPr>
                      <w:color w:val="000000"/>
                      <w:sz w:val="18"/>
                      <w:szCs w:val="18"/>
                    </w:rPr>
                    <w:t>Результаты проведения специальной оценки усл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о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вий труда</w:t>
                  </w:r>
                </w:p>
              </w:tc>
              <w:tc>
                <w:tcPr>
                  <w:tcW w:w="646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31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0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23560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08517F" w:rsidRPr="00513E4C" w:rsidTr="00864B6E">
              <w:trPr>
                <w:cantSplit/>
                <w:trHeight w:val="270"/>
              </w:trPr>
              <w:tc>
                <w:tcPr>
                  <w:tcW w:w="341" w:type="pct"/>
                </w:tcPr>
                <w:p w:rsidR="0008517F" w:rsidRPr="00323560" w:rsidRDefault="0008517F" w:rsidP="00864B6E">
                  <w:pPr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22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14"/>
                    <w:rPr>
                      <w:color w:val="000000"/>
                      <w:sz w:val="18"/>
                      <w:szCs w:val="18"/>
                    </w:rPr>
                  </w:pPr>
                  <w:r w:rsidRPr="00323560">
                    <w:rPr>
                      <w:color w:val="000000"/>
                      <w:sz w:val="18"/>
                      <w:szCs w:val="18"/>
                    </w:rPr>
                    <w:t>Особенности проведения специал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ь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ной оценки условий труда на о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т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дельных рабочих местах</w:t>
                  </w:r>
                </w:p>
              </w:tc>
              <w:tc>
                <w:tcPr>
                  <w:tcW w:w="646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31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60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23560">
                    <w:rPr>
                      <w:color w:val="000000"/>
                      <w:sz w:val="18"/>
                      <w:szCs w:val="18"/>
                    </w:rPr>
                    <w:t>−</w:t>
                  </w:r>
                </w:p>
              </w:tc>
            </w:tr>
            <w:tr w:rsidR="0008517F" w:rsidRPr="00513E4C" w:rsidTr="00864B6E">
              <w:trPr>
                <w:cantSplit/>
                <w:trHeight w:val="270"/>
              </w:trPr>
              <w:tc>
                <w:tcPr>
                  <w:tcW w:w="341" w:type="pct"/>
                </w:tcPr>
                <w:p w:rsidR="0008517F" w:rsidRPr="00323560" w:rsidRDefault="0008517F" w:rsidP="00864B6E">
                  <w:pPr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22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14"/>
                    <w:rPr>
                      <w:color w:val="000000"/>
                      <w:sz w:val="18"/>
                      <w:szCs w:val="18"/>
                    </w:rPr>
                  </w:pPr>
                  <w:r w:rsidRPr="00323560">
                    <w:rPr>
                      <w:color w:val="000000"/>
                      <w:sz w:val="18"/>
                      <w:szCs w:val="18"/>
                    </w:rPr>
                    <w:t>Проведение внеплановой специальной оценки усл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о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вий труда</w:t>
                  </w:r>
                </w:p>
              </w:tc>
              <w:tc>
                <w:tcPr>
                  <w:tcW w:w="646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31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0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23560">
                    <w:rPr>
                      <w:color w:val="000000"/>
                      <w:sz w:val="18"/>
                      <w:szCs w:val="18"/>
                    </w:rPr>
                    <w:t>−</w:t>
                  </w:r>
                </w:p>
              </w:tc>
            </w:tr>
            <w:tr w:rsidR="0008517F" w:rsidRPr="00513E4C" w:rsidTr="00864B6E">
              <w:trPr>
                <w:cantSplit/>
                <w:trHeight w:val="270"/>
              </w:trPr>
              <w:tc>
                <w:tcPr>
                  <w:tcW w:w="341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-66" w:right="-68" w:hanging="14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23560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22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14"/>
                    <w:rPr>
                      <w:color w:val="000000"/>
                      <w:sz w:val="18"/>
                      <w:szCs w:val="18"/>
                    </w:rPr>
                  </w:pPr>
                  <w:r w:rsidRPr="00323560">
                    <w:rPr>
                      <w:color w:val="000000"/>
                      <w:sz w:val="18"/>
                      <w:szCs w:val="18"/>
                    </w:rPr>
                    <w:t xml:space="preserve">Экспертиза условий труда с точки </w:t>
                  </w:r>
                  <w:proofErr w:type="gramStart"/>
                  <w:r w:rsidRPr="00323560">
                    <w:rPr>
                      <w:color w:val="000000"/>
                      <w:sz w:val="18"/>
                      <w:szCs w:val="18"/>
                    </w:rPr>
                    <w:t>зрения оценки качес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т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ва проведения специальной оценки условий тр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у</w:t>
                  </w:r>
                  <w:r w:rsidRPr="00323560">
                    <w:rPr>
                      <w:color w:val="000000"/>
                      <w:sz w:val="18"/>
                      <w:szCs w:val="18"/>
                    </w:rPr>
                    <w:t>да</w:t>
                  </w:r>
                  <w:proofErr w:type="gramEnd"/>
                </w:p>
              </w:tc>
              <w:tc>
                <w:tcPr>
                  <w:tcW w:w="646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31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0" w:type="pct"/>
                  <w:vAlign w:val="center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23560">
                    <w:rPr>
                      <w:color w:val="000000"/>
                      <w:sz w:val="18"/>
                      <w:szCs w:val="18"/>
                    </w:rPr>
                    <w:t>−</w:t>
                  </w:r>
                </w:p>
              </w:tc>
            </w:tr>
            <w:tr w:rsidR="0008517F" w:rsidRPr="003E4C63" w:rsidTr="00864B6E">
              <w:trPr>
                <w:cantSplit/>
                <w:trHeight w:val="270"/>
              </w:trPr>
              <w:tc>
                <w:tcPr>
                  <w:tcW w:w="2763" w:type="pct"/>
                  <w:gridSpan w:val="2"/>
                </w:tcPr>
                <w:p w:rsidR="0008517F" w:rsidRPr="00323560" w:rsidRDefault="0008517F" w:rsidP="00864B6E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Итоговая аттестация (тестирование)</w:t>
                  </w:r>
                </w:p>
              </w:tc>
              <w:tc>
                <w:tcPr>
                  <w:tcW w:w="646" w:type="pct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31" w:type="pct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–</w:t>
                  </w:r>
                </w:p>
              </w:tc>
              <w:tc>
                <w:tcPr>
                  <w:tcW w:w="760" w:type="pct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18"/>
                      <w:szCs w:val="18"/>
                    </w:rPr>
                  </w:pPr>
                  <w:r w:rsidRPr="00323560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08517F" w:rsidRPr="003E4C63" w:rsidTr="00864B6E">
              <w:trPr>
                <w:cantSplit/>
                <w:trHeight w:val="270"/>
              </w:trPr>
              <w:tc>
                <w:tcPr>
                  <w:tcW w:w="2763" w:type="pct"/>
                  <w:gridSpan w:val="2"/>
                </w:tcPr>
                <w:p w:rsidR="0008517F" w:rsidRPr="00323560" w:rsidRDefault="0008517F" w:rsidP="00864B6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23560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646" w:type="pct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23560">
                    <w:rPr>
                      <w:b/>
                      <w:bCs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831" w:type="pct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b/>
                      <w:bCs/>
                      <w:spacing w:val="-7"/>
                      <w:sz w:val="18"/>
                      <w:szCs w:val="18"/>
                    </w:rPr>
                  </w:pPr>
                  <w:r w:rsidRPr="00323560">
                    <w:rPr>
                      <w:b/>
                      <w:bCs/>
                      <w:spacing w:val="-7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760" w:type="pct"/>
                </w:tcPr>
                <w:p w:rsidR="0008517F" w:rsidRPr="00323560" w:rsidRDefault="0008517F" w:rsidP="00864B6E">
                  <w:pPr>
                    <w:shd w:val="clear" w:color="auto" w:fill="FFFFFF"/>
                    <w:ind w:left="-68" w:right="-126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23560">
                    <w:rPr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</w:tr>
          </w:tbl>
          <w:p w:rsidR="0008517F" w:rsidRPr="009F1AD2" w:rsidRDefault="0008517F" w:rsidP="00864B6E"/>
        </w:tc>
      </w:tr>
      <w:tr w:rsidR="0008517F" w:rsidRPr="009F1AD2" w:rsidTr="00864B6E">
        <w:tc>
          <w:tcPr>
            <w:tcW w:w="2988" w:type="dxa"/>
          </w:tcPr>
          <w:p w:rsidR="0008517F" w:rsidRPr="009F1AD2" w:rsidRDefault="0008517F" w:rsidP="00864B6E">
            <w:r w:rsidRPr="009F1AD2">
              <w:t xml:space="preserve">Итоговый документ </w:t>
            </w:r>
          </w:p>
        </w:tc>
        <w:tc>
          <w:tcPr>
            <w:tcW w:w="6660" w:type="dxa"/>
          </w:tcPr>
          <w:p w:rsidR="0008517F" w:rsidRPr="009F1AD2" w:rsidRDefault="0008517F" w:rsidP="00864B6E">
            <w:r w:rsidRPr="009F1AD2">
              <w:t>Удостоверение</w:t>
            </w:r>
          </w:p>
        </w:tc>
      </w:tr>
      <w:tr w:rsidR="0008517F" w:rsidRPr="009F1AD2" w:rsidTr="00864B6E">
        <w:tc>
          <w:tcPr>
            <w:tcW w:w="2988" w:type="dxa"/>
          </w:tcPr>
          <w:p w:rsidR="0008517F" w:rsidRPr="009F1AD2" w:rsidRDefault="0008517F" w:rsidP="00864B6E">
            <w:r w:rsidRPr="009F1AD2">
              <w:t>Периодичность набора групп и режим занятий</w:t>
            </w:r>
          </w:p>
        </w:tc>
        <w:tc>
          <w:tcPr>
            <w:tcW w:w="6660" w:type="dxa"/>
          </w:tcPr>
          <w:p w:rsidR="0008517F" w:rsidRPr="009F1AD2" w:rsidRDefault="0008517F" w:rsidP="00864B6E">
            <w:r w:rsidRPr="009F1AD2">
              <w:t>По мере набора группы</w:t>
            </w:r>
          </w:p>
        </w:tc>
      </w:tr>
      <w:tr w:rsidR="0008517F" w:rsidRPr="009F1AD2" w:rsidTr="00864B6E">
        <w:tc>
          <w:tcPr>
            <w:tcW w:w="2988" w:type="dxa"/>
          </w:tcPr>
          <w:p w:rsidR="0008517F" w:rsidRPr="009F1AD2" w:rsidRDefault="0008517F" w:rsidP="00864B6E">
            <w:r w:rsidRPr="009F1AD2">
              <w:t xml:space="preserve">Информация о преподавателях, задействованных в программе </w:t>
            </w:r>
          </w:p>
        </w:tc>
        <w:tc>
          <w:tcPr>
            <w:tcW w:w="6660" w:type="dxa"/>
          </w:tcPr>
          <w:p w:rsidR="0008517F" w:rsidRPr="009F1AD2" w:rsidRDefault="0008517F" w:rsidP="00864B6E">
            <w:r>
              <w:t>Боровик М.Н.</w:t>
            </w:r>
            <w:r w:rsidRPr="009F1AD2">
              <w:t xml:space="preserve"> – к.т.н., </w:t>
            </w:r>
          </w:p>
          <w:p w:rsidR="0008517F" w:rsidRPr="009F1AD2" w:rsidRDefault="0008517F" w:rsidP="00864B6E">
            <w:proofErr w:type="spellStart"/>
            <w:r>
              <w:t>Окраинская</w:t>
            </w:r>
            <w:proofErr w:type="spellEnd"/>
            <w:r>
              <w:t xml:space="preserve"> И.С. – к.т.н., доцент</w:t>
            </w:r>
          </w:p>
        </w:tc>
      </w:tr>
      <w:tr w:rsidR="0008517F" w:rsidRPr="009F1AD2" w:rsidTr="00864B6E">
        <w:tc>
          <w:tcPr>
            <w:tcW w:w="2988" w:type="dxa"/>
          </w:tcPr>
          <w:p w:rsidR="0008517F" w:rsidRPr="009F1AD2" w:rsidRDefault="0008517F" w:rsidP="00864B6E">
            <w:r w:rsidRPr="009F1AD2">
              <w:t xml:space="preserve">Контактная информация </w:t>
            </w:r>
          </w:p>
        </w:tc>
        <w:tc>
          <w:tcPr>
            <w:tcW w:w="6660" w:type="dxa"/>
          </w:tcPr>
          <w:p w:rsidR="0008517F" w:rsidRDefault="0008517F" w:rsidP="00864B6E">
            <w:r w:rsidRPr="009F1AD2">
              <w:t xml:space="preserve">НАМЦ </w:t>
            </w:r>
            <w:proofErr w:type="spellStart"/>
            <w:r w:rsidRPr="009F1AD2">
              <w:t>ЮУрГУ</w:t>
            </w:r>
            <w:proofErr w:type="spellEnd"/>
            <w:r w:rsidRPr="009F1AD2">
              <w:t xml:space="preserve">, кафедра БЖД, механико-технологический факультет, 8(351)267-96-26, 8(351)2305028, </w:t>
            </w:r>
            <w:hyperlink r:id="rId4" w:history="1">
              <w:r w:rsidRPr="009F1AD2">
                <w:rPr>
                  <w:rStyle w:val="a4"/>
                  <w:lang w:val="en-US"/>
                </w:rPr>
                <w:t>S</w:t>
              </w:r>
              <w:r w:rsidRPr="009F1AD2">
                <w:rPr>
                  <w:rStyle w:val="a4"/>
                </w:rPr>
                <w:t>2305028@</w:t>
              </w:r>
              <w:proofErr w:type="spellStart"/>
              <w:r w:rsidRPr="009F1AD2">
                <w:rPr>
                  <w:rStyle w:val="a4"/>
                  <w:lang w:val="en-US"/>
                </w:rPr>
                <w:t>yandex</w:t>
              </w:r>
              <w:proofErr w:type="spellEnd"/>
              <w:r w:rsidRPr="009F1AD2">
                <w:rPr>
                  <w:rStyle w:val="a4"/>
                </w:rPr>
                <w:t>.</w:t>
              </w:r>
              <w:proofErr w:type="spellStart"/>
              <w:r w:rsidRPr="009F1AD2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9F1AD2">
              <w:t xml:space="preserve">, </w:t>
            </w:r>
          </w:p>
          <w:p w:rsidR="0008517F" w:rsidRPr="009F1AD2" w:rsidRDefault="0008517F" w:rsidP="00864B6E">
            <w:r w:rsidRPr="009F1AD2">
              <w:t>Боровик Светлана Ивановна</w:t>
            </w:r>
          </w:p>
        </w:tc>
      </w:tr>
    </w:tbl>
    <w:p w:rsidR="00BC3E26" w:rsidRDefault="00BC3E26"/>
    <w:sectPr w:rsidR="00BC3E26" w:rsidSect="00BC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17F"/>
    <w:rsid w:val="0005470E"/>
    <w:rsid w:val="0008517F"/>
    <w:rsid w:val="00BC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7F"/>
    <w:pPr>
      <w:spacing w:after="0" w:line="240" w:lineRule="auto"/>
    </w:pPr>
    <w:rPr>
      <w:rFonts w:eastAsia="Times New Roman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17F"/>
    <w:pPr>
      <w:spacing w:after="0" w:line="240" w:lineRule="auto"/>
    </w:pPr>
    <w:rPr>
      <w:rFonts w:eastAsia="Times New Roman"/>
      <w:b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851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230502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>Южно-Уральский государственный университет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saranskaiatv</dc:creator>
  <cp:lastModifiedBy>saranskaiatv</cp:lastModifiedBy>
  <cp:revision>1</cp:revision>
  <dcterms:created xsi:type="dcterms:W3CDTF">2017-04-15T07:29:00Z</dcterms:created>
  <dcterms:modified xsi:type="dcterms:W3CDTF">2017-04-15T07:29:00Z</dcterms:modified>
</cp:coreProperties>
</file>