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8A4379" w:rsidRPr="009F1AD2" w:rsidRDefault="008A4379" w:rsidP="00864B6E">
            <w:r>
              <w:t>Охрана труда при работе на высоте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8A4379" w:rsidRPr="009F1AD2" w:rsidRDefault="008A4379" w:rsidP="00864B6E">
            <w:r w:rsidRPr="009F1AD2">
              <w:t>Повышение квалификации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8A4379" w:rsidRPr="009F1AD2" w:rsidRDefault="008A4379" w:rsidP="00864B6E">
            <w:r>
              <w:t>24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8A4379" w:rsidRPr="009F1AD2" w:rsidRDefault="008A4379" w:rsidP="00864B6E">
            <w:proofErr w:type="spellStart"/>
            <w:r w:rsidRPr="009F1AD2">
              <w:t>Очно</w:t>
            </w:r>
            <w:proofErr w:type="spellEnd"/>
          </w:p>
        </w:tc>
      </w:tr>
      <w:tr w:rsidR="008A4379" w:rsidRPr="00803B0E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8A4379" w:rsidRPr="00803B0E" w:rsidRDefault="008A4379" w:rsidP="00864B6E">
            <w:pPr>
              <w:shd w:val="clear" w:color="auto" w:fill="FFFFFF"/>
              <w:ind w:left="-108" w:firstLine="108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803B0E">
              <w:rPr>
                <w:color w:val="2D2D2D"/>
                <w:spacing w:val="2"/>
                <w:sz w:val="18"/>
                <w:szCs w:val="18"/>
              </w:rPr>
              <w:t>– работники, допускаемые к работам в составе бригады или под непосредстве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н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ным контролем работника, назначенного приказом работодателя (работники 1 гру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п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пы);</w:t>
            </w:r>
          </w:p>
          <w:p w:rsidR="008A4379" w:rsidRPr="00803B0E" w:rsidRDefault="008A4379" w:rsidP="00864B6E">
            <w:pPr>
              <w:shd w:val="clear" w:color="auto" w:fill="FFFFFF"/>
              <w:ind w:left="-108" w:firstLine="108"/>
              <w:jc w:val="both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803B0E">
              <w:rPr>
                <w:color w:val="2D2D2D"/>
                <w:spacing w:val="2"/>
                <w:sz w:val="18"/>
                <w:szCs w:val="18"/>
              </w:rPr>
              <w:t>– мастера, бригадиры, руководители стажировки, а также работники, назнача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е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мые по наряду-допуску ответственными исполнителями работ на высоте (рабо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т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ники 2 группы);</w:t>
            </w:r>
          </w:p>
          <w:p w:rsidR="008A4379" w:rsidRPr="00803B0E" w:rsidRDefault="008A4379" w:rsidP="00864B6E">
            <w:pPr>
              <w:ind w:left="-108" w:firstLine="108"/>
              <w:jc w:val="both"/>
            </w:pPr>
            <w:r w:rsidRPr="00803B0E">
              <w:rPr>
                <w:color w:val="2D2D2D"/>
                <w:spacing w:val="2"/>
                <w:sz w:val="18"/>
                <w:szCs w:val="18"/>
              </w:rPr>
              <w:t xml:space="preserve">– работники, назначаемые работодателем </w:t>
            </w:r>
            <w:proofErr w:type="gramStart"/>
            <w:r w:rsidRPr="00803B0E">
              <w:rPr>
                <w:color w:val="2D2D2D"/>
                <w:spacing w:val="2"/>
                <w:sz w:val="18"/>
                <w:szCs w:val="18"/>
              </w:rPr>
              <w:t>ответственными</w:t>
            </w:r>
            <w:proofErr w:type="gramEnd"/>
            <w:r w:rsidRPr="00803B0E">
              <w:rPr>
                <w:color w:val="2D2D2D"/>
                <w:spacing w:val="2"/>
                <w:sz w:val="18"/>
                <w:szCs w:val="18"/>
              </w:rPr>
              <w:t xml:space="preserve"> </w:t>
            </w:r>
            <w:r w:rsidRPr="00803B0E">
              <w:rPr>
                <w:spacing w:val="2"/>
                <w:sz w:val="18"/>
                <w:szCs w:val="18"/>
              </w:rPr>
              <w:t>за организацию и безопасное проведение работ на высоте, а также за проведение инструктажей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, составление плана мероприятий по эвакуации и спасению работников при возни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к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новении аварийной ситуации и при проведении спасательных работ; работники, выдающие наряды-допуски; ответственные руководители работ на высоте, выполняемых по н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а</w:t>
            </w:r>
            <w:r w:rsidRPr="00803B0E">
              <w:rPr>
                <w:color w:val="2D2D2D"/>
                <w:spacing w:val="2"/>
                <w:sz w:val="18"/>
                <w:szCs w:val="18"/>
              </w:rPr>
              <w:t>ряду-допуску; должностные лица, в полномочия которых входит утверждение плаца производства работ на высоте (работники 3 группы).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8A4379" w:rsidRPr="00803B0E" w:rsidRDefault="008A4379" w:rsidP="00864B6E">
            <w:pPr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способностью принимать участие в установке (монтаже), эксплуатации средств защиты (ПК-6);</w:t>
            </w:r>
          </w:p>
          <w:p w:rsidR="008A4379" w:rsidRPr="00803B0E" w:rsidRDefault="008A4379" w:rsidP="00864B6E">
            <w:pPr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способностью принимать участие в организации и проведении технического обслужив</w:t>
            </w:r>
            <w:r w:rsidRPr="00803B0E">
              <w:rPr>
                <w:sz w:val="18"/>
                <w:szCs w:val="18"/>
              </w:rPr>
              <w:t>а</w:t>
            </w:r>
            <w:r w:rsidRPr="00803B0E">
              <w:rPr>
                <w:sz w:val="18"/>
                <w:szCs w:val="18"/>
              </w:rPr>
              <w:t>ния средств защиты (ПК-7);</w:t>
            </w:r>
          </w:p>
          <w:p w:rsidR="008A4379" w:rsidRPr="00803B0E" w:rsidRDefault="008A4379" w:rsidP="00864B6E">
            <w:pPr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способностью ориентироваться в основных нормативно-правовых актах в области обе</w:t>
            </w:r>
            <w:r w:rsidRPr="00803B0E">
              <w:rPr>
                <w:sz w:val="18"/>
                <w:szCs w:val="18"/>
              </w:rPr>
              <w:t>с</w:t>
            </w:r>
            <w:r w:rsidRPr="00803B0E">
              <w:rPr>
                <w:sz w:val="18"/>
                <w:szCs w:val="18"/>
              </w:rPr>
              <w:t>печения безопасности (ПК-9);</w:t>
            </w:r>
          </w:p>
          <w:p w:rsidR="008A4379" w:rsidRPr="00803B0E" w:rsidRDefault="008A4379" w:rsidP="00864B6E">
            <w:pPr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готовностью использовать знания по организации охраны труда и безопасности в чре</w:t>
            </w:r>
            <w:r w:rsidRPr="00803B0E">
              <w:rPr>
                <w:sz w:val="18"/>
                <w:szCs w:val="18"/>
              </w:rPr>
              <w:t>з</w:t>
            </w:r>
            <w:r w:rsidRPr="00803B0E">
              <w:rPr>
                <w:sz w:val="18"/>
                <w:szCs w:val="18"/>
              </w:rPr>
              <w:t>вычайных ситуациях на объектах экономики (ПК-12);</w:t>
            </w:r>
          </w:p>
          <w:p w:rsidR="008A4379" w:rsidRPr="00803B0E" w:rsidRDefault="008A4379" w:rsidP="00864B6E">
            <w:pPr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способностью определять опасные, чрезвычайно опасные зоны, зоны приемлемого ри</w:t>
            </w:r>
            <w:r w:rsidRPr="00803B0E">
              <w:rPr>
                <w:sz w:val="18"/>
                <w:szCs w:val="18"/>
              </w:rPr>
              <w:t>с</w:t>
            </w:r>
            <w:r w:rsidRPr="00803B0E">
              <w:rPr>
                <w:sz w:val="18"/>
                <w:szCs w:val="18"/>
              </w:rPr>
              <w:t>ка (ПК-17);</w:t>
            </w:r>
          </w:p>
          <w:p w:rsidR="008A4379" w:rsidRPr="00803B0E" w:rsidRDefault="008A4379" w:rsidP="00864B6E">
            <w:pPr>
              <w:ind w:left="-108"/>
              <w:jc w:val="both"/>
              <w:rPr>
                <w:sz w:val="18"/>
                <w:szCs w:val="18"/>
              </w:rPr>
            </w:pPr>
            <w:r w:rsidRPr="00803B0E">
              <w:rPr>
                <w:sz w:val="18"/>
                <w:szCs w:val="18"/>
              </w:rPr>
              <w:t>– способностью контролировать состояние используемых средств защиты, принимать р</w:t>
            </w:r>
            <w:r w:rsidRPr="00803B0E">
              <w:rPr>
                <w:sz w:val="18"/>
                <w:szCs w:val="18"/>
              </w:rPr>
              <w:t>е</w:t>
            </w:r>
            <w:r w:rsidRPr="00803B0E">
              <w:rPr>
                <w:sz w:val="18"/>
                <w:szCs w:val="18"/>
              </w:rPr>
              <w:t>шения по замене (регенерации) средства защиты (ПК-18).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5"/>
              <w:gridCol w:w="3992"/>
              <w:gridCol w:w="592"/>
              <w:gridCol w:w="652"/>
              <w:gridCol w:w="783"/>
            </w:tblGrid>
            <w:tr w:rsidR="008A4379" w:rsidRPr="00345495" w:rsidTr="00864B6E">
              <w:trPr>
                <w:cantSplit/>
                <w:trHeight w:val="383"/>
                <w:jc w:val="center"/>
              </w:trPr>
              <w:tc>
                <w:tcPr>
                  <w:tcW w:w="342" w:type="pct"/>
                  <w:vMerge w:val="restart"/>
                  <w:vAlign w:val="center"/>
                </w:tcPr>
                <w:p w:rsidR="008A4379" w:rsidRPr="00803B0E" w:rsidRDefault="008A4379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№</w:t>
                  </w:r>
                </w:p>
                <w:p w:rsidR="008A4379" w:rsidRPr="00803B0E" w:rsidRDefault="008A4379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03B0E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03B0E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03B0E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121" w:type="pct"/>
                  <w:vMerge w:val="restar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444" w:type="pct"/>
                  <w:vMerge w:val="restart"/>
                  <w:vAlign w:val="center"/>
                </w:tcPr>
                <w:p w:rsidR="008A4379" w:rsidRPr="00803B0E" w:rsidRDefault="008A4379" w:rsidP="00864B6E">
                  <w:pPr>
                    <w:ind w:left="-137" w:right="-30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Всего,</w:t>
                  </w:r>
                </w:p>
                <w:p w:rsidR="008A4379" w:rsidRPr="00803B0E" w:rsidRDefault="008A4379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093" w:type="pct"/>
                  <w:gridSpan w:val="2"/>
                  <w:vAlign w:val="center"/>
                </w:tcPr>
                <w:p w:rsidR="008A4379" w:rsidRPr="00803B0E" w:rsidRDefault="008A4379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8A4379" w:rsidRPr="00345495" w:rsidTr="00864B6E">
              <w:trPr>
                <w:cantSplit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1" w:type="pct"/>
                  <w:vMerge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vMerge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03B0E">
                    <w:rPr>
                      <w:sz w:val="20"/>
                      <w:szCs w:val="20"/>
                    </w:rPr>
                    <w:t>практич</w:t>
                  </w:r>
                  <w:proofErr w:type="spellEnd"/>
                  <w:r w:rsidRPr="00803B0E">
                    <w:rPr>
                      <w:sz w:val="20"/>
                      <w:szCs w:val="20"/>
                    </w:rPr>
                    <w:t>.</w:t>
                  </w:r>
                </w:p>
                <w:p w:rsidR="008A4379" w:rsidRPr="00803B0E" w:rsidRDefault="008A4379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line="283" w:lineRule="exact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Общие вопросы обеспечения безопасности проведения работ на высоте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color w:val="000000"/>
                      <w:sz w:val="20"/>
                      <w:szCs w:val="20"/>
                    </w:rPr>
                    <w:t>Организация работ и требования к рабо</w:t>
                  </w:r>
                  <w:r w:rsidRPr="00803B0E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803B0E">
                    <w:rPr>
                      <w:color w:val="000000"/>
                      <w:sz w:val="20"/>
                      <w:szCs w:val="20"/>
                    </w:rPr>
                    <w:t>никам при работе на высоте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color w:val="000000"/>
                      <w:sz w:val="20"/>
                      <w:szCs w:val="20"/>
                    </w:rPr>
                    <w:t>Требования по охране труда, предъявляемые к произво</w:t>
                  </w:r>
                  <w:r w:rsidRPr="00803B0E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803B0E">
                    <w:rPr>
                      <w:color w:val="000000"/>
                      <w:sz w:val="20"/>
                      <w:szCs w:val="20"/>
                    </w:rPr>
                    <w:t>ственным помещениям и производственным площадкам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03B0E">
                    <w:rPr>
                      <w:bCs/>
                      <w:sz w:val="20"/>
                      <w:szCs w:val="20"/>
                    </w:rPr>
                    <w:t>Требования к применению систем обеспечения без</w:t>
                  </w:r>
                  <w:r w:rsidRPr="00803B0E">
                    <w:rPr>
                      <w:bCs/>
                      <w:sz w:val="20"/>
                      <w:szCs w:val="20"/>
                    </w:rPr>
                    <w:t>о</w:t>
                  </w:r>
                  <w:r w:rsidRPr="00803B0E">
                    <w:rPr>
                      <w:bCs/>
                      <w:sz w:val="20"/>
                      <w:szCs w:val="20"/>
                    </w:rPr>
                    <w:t xml:space="preserve">пасности работ на высоте 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03B0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03B0E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ind w:left="-68" w:right="-126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803B0E">
                    <w:rPr>
                      <w:bCs/>
                      <w:sz w:val="20"/>
                      <w:szCs w:val="20"/>
                    </w:rPr>
                    <w:t>Специальные требования по охране труда, предъявля</w:t>
                  </w:r>
                  <w:r w:rsidRPr="00803B0E">
                    <w:rPr>
                      <w:bCs/>
                      <w:sz w:val="20"/>
                      <w:szCs w:val="20"/>
                    </w:rPr>
                    <w:t>е</w:t>
                  </w:r>
                  <w:r w:rsidRPr="00803B0E">
                    <w:rPr>
                      <w:bCs/>
                      <w:sz w:val="20"/>
                      <w:szCs w:val="20"/>
                    </w:rPr>
                    <w:t>мые к производству работ на высоте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2" w:type="pct"/>
                  <w:vAlign w:val="center"/>
                </w:tcPr>
                <w:p w:rsidR="008A4379" w:rsidRPr="00803B0E" w:rsidRDefault="008A4379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1" w:type="pct"/>
                  <w:vAlign w:val="center"/>
                </w:tcPr>
                <w:p w:rsidR="008A4379" w:rsidRPr="00803B0E" w:rsidRDefault="008A4379" w:rsidP="00864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color w:val="000000"/>
                      <w:sz w:val="20"/>
                      <w:szCs w:val="20"/>
                    </w:rPr>
                    <w:t>Основы техники эвакуации и спасения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ind w:left="-68" w:right="-12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63" w:type="pct"/>
                  <w:gridSpan w:val="2"/>
                  <w:vAlign w:val="center"/>
                </w:tcPr>
                <w:p w:rsidR="008A4379" w:rsidRPr="00803B0E" w:rsidRDefault="008A4379" w:rsidP="00864B6E">
                  <w:pPr>
                    <w:spacing w:before="120" w:after="120"/>
                    <w:jc w:val="center"/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Итоговая аттестация (тестирование)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sz w:val="20"/>
                      <w:szCs w:val="20"/>
                    </w:rPr>
                  </w:pPr>
                  <w:r w:rsidRPr="00803B0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A4379" w:rsidRPr="00345495" w:rsidTr="00864B6E">
              <w:trPr>
                <w:cantSplit/>
                <w:trHeight w:val="270"/>
                <w:jc w:val="center"/>
              </w:trPr>
              <w:tc>
                <w:tcPr>
                  <w:tcW w:w="3463" w:type="pct"/>
                  <w:gridSpan w:val="2"/>
                  <w:vAlign w:val="center"/>
                </w:tcPr>
                <w:p w:rsidR="008A4379" w:rsidRPr="00803B0E" w:rsidRDefault="008A4379" w:rsidP="00864B6E">
                  <w:pPr>
                    <w:spacing w:before="120" w:after="1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3B0E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4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3B0E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9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b/>
                      <w:bCs/>
                      <w:spacing w:val="-7"/>
                      <w:sz w:val="20"/>
                      <w:szCs w:val="20"/>
                    </w:rPr>
                  </w:pPr>
                  <w:r w:rsidRPr="00803B0E">
                    <w:rPr>
                      <w:b/>
                      <w:bCs/>
                      <w:spacing w:val="-7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74" w:type="pct"/>
                  <w:vAlign w:val="center"/>
                </w:tcPr>
                <w:p w:rsidR="008A4379" w:rsidRPr="00803B0E" w:rsidRDefault="008A4379" w:rsidP="00864B6E">
                  <w:pPr>
                    <w:shd w:val="clear" w:color="auto" w:fill="FFFFFF"/>
                    <w:spacing w:before="120" w:after="120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3B0E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8A4379" w:rsidRPr="009F1AD2" w:rsidRDefault="008A4379" w:rsidP="00864B6E"/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8A4379" w:rsidRPr="009F1AD2" w:rsidRDefault="008A4379" w:rsidP="00864B6E">
            <w:r w:rsidRPr="009F1AD2">
              <w:t>Удостоверение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8A4379" w:rsidRPr="009F1AD2" w:rsidRDefault="008A4379" w:rsidP="00864B6E">
            <w:r w:rsidRPr="009F1AD2">
              <w:t>По мере набора группы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8A4379" w:rsidRPr="009F1AD2" w:rsidRDefault="008A4379" w:rsidP="00864B6E">
            <w:proofErr w:type="spellStart"/>
            <w:r>
              <w:t>Палатинская</w:t>
            </w:r>
            <w:proofErr w:type="spellEnd"/>
            <w:r>
              <w:t xml:space="preserve"> И.П.</w:t>
            </w:r>
            <w:r w:rsidRPr="009F1AD2">
              <w:t xml:space="preserve"> – к.т.н., </w:t>
            </w:r>
            <w:r>
              <w:t>доцент</w:t>
            </w:r>
          </w:p>
          <w:p w:rsidR="008A4379" w:rsidRPr="009F1AD2" w:rsidRDefault="008A4379" w:rsidP="00864B6E">
            <w:r>
              <w:t>Медведева Ю.В. – к.т.н., доцент</w:t>
            </w:r>
          </w:p>
        </w:tc>
      </w:tr>
      <w:tr w:rsidR="008A4379" w:rsidRPr="009F1AD2" w:rsidTr="00864B6E">
        <w:tc>
          <w:tcPr>
            <w:tcW w:w="2988" w:type="dxa"/>
          </w:tcPr>
          <w:p w:rsidR="008A4379" w:rsidRPr="009F1AD2" w:rsidRDefault="008A4379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8A4379" w:rsidRDefault="008A4379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8A4379" w:rsidRPr="009F1AD2" w:rsidRDefault="008A4379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79"/>
    <w:rsid w:val="0005470E"/>
    <w:rsid w:val="008A4379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9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379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A4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>Южно-Уральский государственный университет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2017-04-15T07:31:00Z</dcterms:created>
  <dcterms:modified xsi:type="dcterms:W3CDTF">2017-04-15T07:31:00Z</dcterms:modified>
</cp:coreProperties>
</file>